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1CA1" w14:textId="77777777" w:rsidR="00FB609F" w:rsidRPr="009D4714" w:rsidRDefault="00FB609F" w:rsidP="00176397">
      <w:pPr>
        <w:widowControl w:val="0"/>
        <w:pBdr>
          <w:top w:val="nil"/>
          <w:left w:val="nil"/>
          <w:bottom w:val="nil"/>
          <w:right w:val="nil"/>
          <w:between w:val="nil"/>
        </w:pBdr>
        <w:rPr>
          <w:rFonts w:ascii="Arial" w:eastAsia="Arial" w:hAnsi="Arial" w:cs="Arial"/>
          <w:sz w:val="22"/>
          <w:szCs w:val="22"/>
        </w:rPr>
      </w:pPr>
    </w:p>
    <w:p w14:paraId="497A1206" w14:textId="77777777" w:rsidR="004D5812" w:rsidRPr="009D4714" w:rsidRDefault="00F62480" w:rsidP="00176397">
      <w:pPr>
        <w:jc w:val="center"/>
        <w:rPr>
          <w:b/>
          <w:sz w:val="32"/>
          <w:szCs w:val="32"/>
        </w:rPr>
      </w:pPr>
      <w:r w:rsidRPr="009D4714">
        <w:rPr>
          <w:b/>
          <w:sz w:val="32"/>
          <w:szCs w:val="32"/>
        </w:rPr>
        <w:t>Analiza impactului de reglementare a proiectul</w:t>
      </w:r>
      <w:r w:rsidR="00E00C79" w:rsidRPr="009D4714">
        <w:rPr>
          <w:b/>
          <w:sz w:val="32"/>
          <w:szCs w:val="32"/>
        </w:rPr>
        <w:t>ui</w:t>
      </w:r>
      <w:r w:rsidR="00573D68" w:rsidRPr="009D4714">
        <w:rPr>
          <w:b/>
          <w:sz w:val="32"/>
          <w:szCs w:val="32"/>
        </w:rPr>
        <w:t xml:space="preserve"> de modificare a</w:t>
      </w:r>
    </w:p>
    <w:p w14:paraId="6B12393C" w14:textId="407D6CDB" w:rsidR="002042F7" w:rsidRPr="009D4714" w:rsidRDefault="00573D68" w:rsidP="00176397">
      <w:pPr>
        <w:jc w:val="center"/>
        <w:rPr>
          <w:b/>
          <w:sz w:val="32"/>
          <w:szCs w:val="32"/>
        </w:rPr>
      </w:pPr>
      <w:r w:rsidRPr="009D4714">
        <w:rPr>
          <w:b/>
          <w:sz w:val="32"/>
          <w:szCs w:val="32"/>
        </w:rPr>
        <w:t>Regul</w:t>
      </w:r>
      <w:r w:rsidR="00B83A19" w:rsidRPr="009D4714">
        <w:rPr>
          <w:b/>
          <w:sz w:val="32"/>
          <w:szCs w:val="32"/>
        </w:rPr>
        <w:t>ilor pieței energiei electrice</w:t>
      </w:r>
    </w:p>
    <w:tbl>
      <w:tblPr>
        <w:tblStyle w:val="aa"/>
        <w:tblW w:w="96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644"/>
      </w:tblGrid>
      <w:tr w:rsidR="000F0AD4" w:rsidRPr="009D4714" w14:paraId="30FB20E8"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352A9075"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b/>
                <w:sz w:val="24"/>
                <w:szCs w:val="24"/>
              </w:rPr>
            </w:pPr>
            <w:r w:rsidRPr="009D4714">
              <w:rPr>
                <w:rFonts w:ascii="Times New Roman" w:eastAsia="Times New Roman" w:hAnsi="Times New Roman" w:cs="Times New Roman"/>
                <w:b/>
                <w:sz w:val="24"/>
                <w:szCs w:val="24"/>
              </w:rPr>
              <w:t xml:space="preserve">Titlul analizei impactului </w:t>
            </w:r>
          </w:p>
          <w:p w14:paraId="3CF4B471" w14:textId="77777777" w:rsidR="00FB609F" w:rsidRPr="009D4714" w:rsidRDefault="00FB609F" w:rsidP="00176397">
            <w:pPr>
              <w:pBdr>
                <w:top w:val="nil"/>
                <w:left w:val="nil"/>
                <w:bottom w:val="nil"/>
                <w:right w:val="nil"/>
                <w:between w:val="nil"/>
              </w:pBdr>
              <w:rPr>
                <w:rFonts w:ascii="Times New Roman" w:eastAsia="Times New Roman" w:hAnsi="Times New Roman" w:cs="Times New Roman"/>
                <w:b/>
                <w:sz w:val="24"/>
                <w:szCs w:val="24"/>
              </w:rPr>
            </w:pPr>
          </w:p>
        </w:tc>
        <w:tc>
          <w:tcPr>
            <w:tcW w:w="5644" w:type="dxa"/>
            <w:tcBorders>
              <w:top w:val="single" w:sz="4" w:space="0" w:color="000000"/>
              <w:left w:val="single" w:sz="4" w:space="0" w:color="000000"/>
              <w:bottom w:val="single" w:sz="4" w:space="0" w:color="000000"/>
              <w:right w:val="single" w:sz="4" w:space="0" w:color="000000"/>
            </w:tcBorders>
          </w:tcPr>
          <w:p w14:paraId="12BB2806" w14:textId="19041D45" w:rsidR="00FB609F" w:rsidRPr="009D4714" w:rsidRDefault="00F62480" w:rsidP="00B83A19">
            <w:pPr>
              <w:jc w:val="both"/>
              <w:rPr>
                <w:rFonts w:ascii="Times New Roman" w:eastAsia="Times New Roman" w:hAnsi="Times New Roman" w:cs="Times New Roman"/>
                <w:sz w:val="24"/>
                <w:szCs w:val="24"/>
              </w:rPr>
            </w:pPr>
            <w:r w:rsidRPr="009D4714">
              <w:rPr>
                <w:rFonts w:ascii="Times New Roman" w:eastAsia="Times New Roman" w:hAnsi="Times New Roman" w:cs="Times New Roman"/>
                <w:sz w:val="24"/>
                <w:szCs w:val="24"/>
              </w:rPr>
              <w:t xml:space="preserve">Analiza impactului de reglementare </w:t>
            </w:r>
            <w:r w:rsidR="00A33807" w:rsidRPr="009D4714">
              <w:rPr>
                <w:rFonts w:ascii="Times New Roman" w:eastAsia="Times New Roman" w:hAnsi="Times New Roman" w:cs="Times New Roman"/>
                <w:sz w:val="24"/>
                <w:szCs w:val="24"/>
              </w:rPr>
              <w:t xml:space="preserve">la proiectul </w:t>
            </w:r>
            <w:r w:rsidR="00573D68" w:rsidRPr="009D4714">
              <w:rPr>
                <w:rFonts w:ascii="Times New Roman" w:eastAsia="Times New Roman" w:hAnsi="Times New Roman" w:cs="Times New Roman"/>
                <w:sz w:val="24"/>
                <w:szCs w:val="24"/>
              </w:rPr>
              <w:t xml:space="preserve">de modificare a </w:t>
            </w:r>
            <w:r w:rsidR="00B83A19" w:rsidRPr="009D4714">
              <w:rPr>
                <w:rFonts w:ascii="Times New Roman" w:eastAsia="Times New Roman" w:hAnsi="Times New Roman" w:cs="Times New Roman"/>
                <w:sz w:val="24"/>
                <w:szCs w:val="24"/>
              </w:rPr>
              <w:t>Regulilor pieței energiei electrice</w:t>
            </w:r>
            <w:r w:rsidR="0086555E" w:rsidRPr="009D4714">
              <w:rPr>
                <w:rFonts w:ascii="Times New Roman" w:eastAsia="Times New Roman" w:hAnsi="Times New Roman" w:cs="Times New Roman"/>
                <w:sz w:val="24"/>
                <w:szCs w:val="24"/>
              </w:rPr>
              <w:t>.</w:t>
            </w:r>
          </w:p>
        </w:tc>
      </w:tr>
      <w:tr w:rsidR="000F0AD4" w:rsidRPr="009D4714" w14:paraId="79DD01DA"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2D2A3CFF"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b/>
                <w:sz w:val="24"/>
                <w:szCs w:val="24"/>
              </w:rPr>
            </w:pPr>
            <w:r w:rsidRPr="009D4714">
              <w:rPr>
                <w:rFonts w:ascii="Times New Roman" w:eastAsia="Times New Roman" w:hAnsi="Times New Roman" w:cs="Times New Roman"/>
                <w:b/>
                <w:sz w:val="24"/>
                <w:szCs w:val="24"/>
              </w:rPr>
              <w:t>Data:</w:t>
            </w:r>
          </w:p>
        </w:tc>
        <w:tc>
          <w:tcPr>
            <w:tcW w:w="5644" w:type="dxa"/>
            <w:tcBorders>
              <w:top w:val="single" w:sz="4" w:space="0" w:color="000000"/>
              <w:left w:val="single" w:sz="4" w:space="0" w:color="000000"/>
              <w:bottom w:val="single" w:sz="4" w:space="0" w:color="000000"/>
              <w:right w:val="single" w:sz="4" w:space="0" w:color="000000"/>
            </w:tcBorders>
          </w:tcPr>
          <w:p w14:paraId="4872DEE0" w14:textId="77777777" w:rsidR="00FB609F" w:rsidRPr="009D4714" w:rsidRDefault="00FB609F" w:rsidP="00176397">
            <w:pPr>
              <w:pBdr>
                <w:top w:val="nil"/>
                <w:left w:val="nil"/>
                <w:bottom w:val="nil"/>
                <w:right w:val="nil"/>
                <w:between w:val="nil"/>
              </w:pBdr>
              <w:rPr>
                <w:rFonts w:ascii="Times New Roman" w:eastAsia="Times New Roman" w:hAnsi="Times New Roman" w:cs="Times New Roman"/>
                <w:sz w:val="24"/>
                <w:szCs w:val="24"/>
              </w:rPr>
            </w:pPr>
          </w:p>
        </w:tc>
      </w:tr>
      <w:tr w:rsidR="000F0AD4" w:rsidRPr="009D4714" w14:paraId="0D2D2FFB"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2E9CF72A"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b/>
                <w:sz w:val="24"/>
                <w:szCs w:val="24"/>
              </w:rPr>
            </w:pPr>
            <w:r w:rsidRPr="009D4714">
              <w:rPr>
                <w:rFonts w:ascii="Times New Roman" w:eastAsia="Times New Roman" w:hAnsi="Times New Roman" w:cs="Times New Roman"/>
                <w:b/>
                <w:sz w:val="24"/>
                <w:szCs w:val="24"/>
              </w:rPr>
              <w:t>Autoritatea administra</w:t>
            </w:r>
            <w:r w:rsidR="00176397" w:rsidRPr="009D4714">
              <w:rPr>
                <w:rFonts w:ascii="Times New Roman" w:eastAsia="Times New Roman" w:hAnsi="Times New Roman" w:cs="Times New Roman"/>
                <w:b/>
                <w:sz w:val="24"/>
                <w:szCs w:val="24"/>
              </w:rPr>
              <w:t>ț</w:t>
            </w:r>
            <w:r w:rsidRPr="009D4714">
              <w:rPr>
                <w:rFonts w:ascii="Times New Roman" w:eastAsia="Times New Roman" w:hAnsi="Times New Roman" w:cs="Times New Roman"/>
                <w:b/>
                <w:sz w:val="24"/>
                <w:szCs w:val="24"/>
              </w:rPr>
              <w:t>iei publice (autor):</w:t>
            </w:r>
          </w:p>
        </w:tc>
        <w:tc>
          <w:tcPr>
            <w:tcW w:w="5644" w:type="dxa"/>
            <w:tcBorders>
              <w:top w:val="single" w:sz="4" w:space="0" w:color="000000"/>
              <w:left w:val="single" w:sz="4" w:space="0" w:color="000000"/>
              <w:bottom w:val="single" w:sz="4" w:space="0" w:color="000000"/>
              <w:right w:val="single" w:sz="4" w:space="0" w:color="000000"/>
            </w:tcBorders>
          </w:tcPr>
          <w:p w14:paraId="56C2E08C"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sz w:val="24"/>
                <w:szCs w:val="24"/>
              </w:rPr>
            </w:pPr>
            <w:r w:rsidRPr="009D4714">
              <w:rPr>
                <w:rFonts w:ascii="Times New Roman" w:eastAsia="Times New Roman" w:hAnsi="Times New Roman" w:cs="Times New Roman"/>
                <w:sz w:val="24"/>
                <w:szCs w:val="24"/>
              </w:rPr>
              <w:t>Agen</w:t>
            </w:r>
            <w:r w:rsidR="00176397" w:rsidRPr="009D4714">
              <w:rPr>
                <w:rFonts w:ascii="Times New Roman" w:eastAsia="Times New Roman" w:hAnsi="Times New Roman" w:cs="Times New Roman"/>
                <w:sz w:val="24"/>
                <w:szCs w:val="24"/>
              </w:rPr>
              <w:t>ț</w:t>
            </w:r>
            <w:r w:rsidRPr="009D4714">
              <w:rPr>
                <w:rFonts w:ascii="Times New Roman" w:eastAsia="Times New Roman" w:hAnsi="Times New Roman" w:cs="Times New Roman"/>
                <w:sz w:val="24"/>
                <w:szCs w:val="24"/>
              </w:rPr>
              <w:t>ia Na</w:t>
            </w:r>
            <w:r w:rsidR="00176397" w:rsidRPr="009D4714">
              <w:rPr>
                <w:rFonts w:ascii="Times New Roman" w:eastAsia="Times New Roman" w:hAnsi="Times New Roman" w:cs="Times New Roman"/>
                <w:sz w:val="24"/>
                <w:szCs w:val="24"/>
              </w:rPr>
              <w:t>ț</w:t>
            </w:r>
            <w:r w:rsidRPr="009D4714">
              <w:rPr>
                <w:rFonts w:ascii="Times New Roman" w:eastAsia="Times New Roman" w:hAnsi="Times New Roman" w:cs="Times New Roman"/>
                <w:sz w:val="24"/>
                <w:szCs w:val="24"/>
              </w:rPr>
              <w:t>ională pentru Reglementare în Energetică</w:t>
            </w:r>
            <w:r w:rsidR="00D42181" w:rsidRPr="009D4714">
              <w:rPr>
                <w:rFonts w:ascii="Times New Roman" w:eastAsia="Times New Roman" w:hAnsi="Times New Roman" w:cs="Times New Roman"/>
                <w:sz w:val="24"/>
                <w:szCs w:val="24"/>
              </w:rPr>
              <w:t xml:space="preserve"> (ANRE)</w:t>
            </w:r>
          </w:p>
        </w:tc>
      </w:tr>
      <w:tr w:rsidR="000F0AD4" w:rsidRPr="009D4714" w14:paraId="6CFC5E52" w14:textId="77777777" w:rsidTr="00232956">
        <w:tc>
          <w:tcPr>
            <w:tcW w:w="3970" w:type="dxa"/>
            <w:tcBorders>
              <w:top w:val="single" w:sz="4" w:space="0" w:color="000000"/>
              <w:left w:val="single" w:sz="4" w:space="0" w:color="000000"/>
              <w:bottom w:val="single" w:sz="4" w:space="0" w:color="000000"/>
              <w:right w:val="single" w:sz="4" w:space="0" w:color="000000"/>
            </w:tcBorders>
          </w:tcPr>
          <w:p w14:paraId="199670D9"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b/>
                <w:sz w:val="24"/>
                <w:szCs w:val="24"/>
              </w:rPr>
            </w:pPr>
            <w:r w:rsidRPr="009D4714">
              <w:rPr>
                <w:rFonts w:ascii="Times New Roman" w:eastAsia="Times New Roman" w:hAnsi="Times New Roman" w:cs="Times New Roman"/>
                <w:b/>
                <w:sz w:val="24"/>
                <w:szCs w:val="24"/>
              </w:rPr>
              <w:t>Subdiviziunea:</w:t>
            </w:r>
          </w:p>
        </w:tc>
        <w:tc>
          <w:tcPr>
            <w:tcW w:w="5644" w:type="dxa"/>
            <w:tcBorders>
              <w:top w:val="single" w:sz="4" w:space="0" w:color="000000"/>
              <w:left w:val="single" w:sz="4" w:space="0" w:color="000000"/>
              <w:bottom w:val="single" w:sz="4" w:space="0" w:color="000000"/>
              <w:right w:val="single" w:sz="4" w:space="0" w:color="000000"/>
            </w:tcBorders>
          </w:tcPr>
          <w:p w14:paraId="3B74054E" w14:textId="77777777" w:rsidR="00FB609F" w:rsidRPr="009D4714" w:rsidRDefault="002042F7" w:rsidP="00176397">
            <w:pPr>
              <w:pBdr>
                <w:top w:val="nil"/>
                <w:left w:val="nil"/>
                <w:bottom w:val="nil"/>
                <w:right w:val="nil"/>
                <w:between w:val="nil"/>
              </w:pBdr>
              <w:rPr>
                <w:rFonts w:ascii="Times New Roman" w:eastAsia="Times New Roman" w:hAnsi="Times New Roman" w:cs="Times New Roman"/>
                <w:sz w:val="24"/>
                <w:szCs w:val="24"/>
              </w:rPr>
            </w:pPr>
            <w:r w:rsidRPr="009D4714">
              <w:rPr>
                <w:rFonts w:ascii="Times New Roman" w:eastAsia="Times New Roman" w:hAnsi="Times New Roman" w:cs="Times New Roman"/>
                <w:sz w:val="24"/>
                <w:szCs w:val="24"/>
              </w:rPr>
              <w:t>Sec</w:t>
            </w:r>
            <w:r w:rsidR="00176397" w:rsidRPr="009D4714">
              <w:rPr>
                <w:rFonts w:ascii="Times New Roman" w:eastAsia="Times New Roman" w:hAnsi="Times New Roman" w:cs="Times New Roman"/>
                <w:sz w:val="24"/>
                <w:szCs w:val="24"/>
              </w:rPr>
              <w:t>ț</w:t>
            </w:r>
            <w:r w:rsidRPr="009D4714">
              <w:rPr>
                <w:rFonts w:ascii="Times New Roman" w:eastAsia="Times New Roman" w:hAnsi="Times New Roman" w:cs="Times New Roman"/>
                <w:sz w:val="24"/>
                <w:szCs w:val="24"/>
              </w:rPr>
              <w:t>ia</w:t>
            </w:r>
            <w:r w:rsidR="00D361E3" w:rsidRPr="009D4714">
              <w:rPr>
                <w:rFonts w:ascii="Times New Roman" w:eastAsia="Times New Roman" w:hAnsi="Times New Roman" w:cs="Times New Roman"/>
                <w:sz w:val="24"/>
                <w:szCs w:val="24"/>
              </w:rPr>
              <w:t xml:space="preserve"> reglementări</w:t>
            </w:r>
            <w:r w:rsidR="00F62480" w:rsidRPr="009D4714">
              <w:rPr>
                <w:rFonts w:ascii="Times New Roman" w:eastAsia="Times New Roman" w:hAnsi="Times New Roman" w:cs="Times New Roman"/>
                <w:sz w:val="24"/>
                <w:szCs w:val="24"/>
              </w:rPr>
              <w:t>, Departamentul</w:t>
            </w:r>
            <w:r w:rsidR="00D361E3" w:rsidRPr="009D4714">
              <w:rPr>
                <w:rFonts w:ascii="Times New Roman" w:eastAsia="Times New Roman" w:hAnsi="Times New Roman" w:cs="Times New Roman"/>
                <w:sz w:val="24"/>
                <w:szCs w:val="24"/>
              </w:rPr>
              <w:t xml:space="preserve"> energie electrică </w:t>
            </w:r>
            <w:r w:rsidR="00176397" w:rsidRPr="009D4714">
              <w:rPr>
                <w:rFonts w:ascii="Times New Roman" w:eastAsia="Times New Roman" w:hAnsi="Times New Roman" w:cs="Times New Roman"/>
                <w:sz w:val="24"/>
                <w:szCs w:val="24"/>
              </w:rPr>
              <w:t>ș</w:t>
            </w:r>
            <w:r w:rsidR="00D361E3" w:rsidRPr="009D4714">
              <w:rPr>
                <w:rFonts w:ascii="Times New Roman" w:eastAsia="Times New Roman" w:hAnsi="Times New Roman" w:cs="Times New Roman"/>
                <w:sz w:val="24"/>
                <w:szCs w:val="24"/>
              </w:rPr>
              <w:t>i regenerabilă</w:t>
            </w:r>
            <w:r w:rsidR="00F62480" w:rsidRPr="009D4714">
              <w:rPr>
                <w:rFonts w:ascii="Times New Roman" w:eastAsia="Times New Roman" w:hAnsi="Times New Roman" w:cs="Times New Roman"/>
                <w:sz w:val="24"/>
                <w:szCs w:val="24"/>
              </w:rPr>
              <w:t xml:space="preserve"> </w:t>
            </w:r>
          </w:p>
        </w:tc>
      </w:tr>
      <w:tr w:rsidR="000F0AD4" w:rsidRPr="009D4714" w14:paraId="7C238153" w14:textId="77777777" w:rsidTr="00A33807">
        <w:trPr>
          <w:trHeight w:val="1323"/>
        </w:trPr>
        <w:tc>
          <w:tcPr>
            <w:tcW w:w="3970" w:type="dxa"/>
            <w:tcBorders>
              <w:top w:val="single" w:sz="4" w:space="0" w:color="000000"/>
              <w:left w:val="single" w:sz="4" w:space="0" w:color="000000"/>
              <w:bottom w:val="single" w:sz="4" w:space="0" w:color="000000"/>
              <w:right w:val="single" w:sz="4" w:space="0" w:color="000000"/>
            </w:tcBorders>
          </w:tcPr>
          <w:p w14:paraId="28BB5997" w14:textId="77777777" w:rsidR="00FB609F" w:rsidRPr="009D4714" w:rsidRDefault="00F62480" w:rsidP="00176397">
            <w:pPr>
              <w:pBdr>
                <w:top w:val="nil"/>
                <w:left w:val="nil"/>
                <w:bottom w:val="nil"/>
                <w:right w:val="nil"/>
                <w:between w:val="nil"/>
              </w:pBdr>
              <w:rPr>
                <w:rFonts w:ascii="Times New Roman" w:eastAsia="Times New Roman" w:hAnsi="Times New Roman" w:cs="Times New Roman"/>
                <w:b/>
                <w:sz w:val="24"/>
                <w:szCs w:val="24"/>
              </w:rPr>
            </w:pPr>
            <w:r w:rsidRPr="009D4714">
              <w:rPr>
                <w:rFonts w:ascii="Times New Roman" w:eastAsia="Times New Roman" w:hAnsi="Times New Roman" w:cs="Times New Roman"/>
                <w:b/>
                <w:sz w:val="24"/>
                <w:szCs w:val="24"/>
              </w:rPr>
              <w:t xml:space="preserve">Persoana responsabilă </w:t>
            </w:r>
            <w:r w:rsidR="00176397" w:rsidRPr="009D4714">
              <w:rPr>
                <w:rFonts w:ascii="Times New Roman" w:eastAsia="Times New Roman" w:hAnsi="Times New Roman" w:cs="Times New Roman"/>
                <w:b/>
                <w:sz w:val="24"/>
                <w:szCs w:val="24"/>
              </w:rPr>
              <w:t>ș</w:t>
            </w:r>
            <w:r w:rsidR="00675F58" w:rsidRPr="009D4714">
              <w:rPr>
                <w:rFonts w:ascii="Times New Roman" w:eastAsia="Times New Roman" w:hAnsi="Times New Roman" w:cs="Times New Roman"/>
                <w:b/>
                <w:sz w:val="24"/>
                <w:szCs w:val="24"/>
              </w:rPr>
              <w:t>i</w:t>
            </w:r>
            <w:r w:rsidRPr="009D4714">
              <w:rPr>
                <w:rFonts w:ascii="Times New Roman" w:eastAsia="Times New Roman" w:hAnsi="Times New Roman" w:cs="Times New Roman"/>
                <w:b/>
                <w:sz w:val="24"/>
                <w:szCs w:val="24"/>
              </w:rPr>
              <w:t xml:space="preserve"> datele de contact:</w:t>
            </w:r>
          </w:p>
        </w:tc>
        <w:tc>
          <w:tcPr>
            <w:tcW w:w="5644" w:type="dxa"/>
            <w:tcBorders>
              <w:top w:val="single" w:sz="4" w:space="0" w:color="000000"/>
              <w:left w:val="single" w:sz="4" w:space="0" w:color="000000"/>
              <w:bottom w:val="single" w:sz="4" w:space="0" w:color="000000"/>
              <w:right w:val="single" w:sz="4" w:space="0" w:color="000000"/>
            </w:tcBorders>
          </w:tcPr>
          <w:p w14:paraId="4657E613" w14:textId="2AEA569A" w:rsidR="002042F7" w:rsidRPr="009D4714" w:rsidRDefault="000F0AD4" w:rsidP="00176397">
            <w:pPr>
              <w:pBdr>
                <w:top w:val="nil"/>
                <w:left w:val="nil"/>
                <w:bottom w:val="nil"/>
                <w:right w:val="nil"/>
                <w:between w:val="nil"/>
              </w:pBdr>
              <w:rPr>
                <w:rFonts w:ascii="Times New Roman" w:hAnsi="Times New Roman" w:cs="Times New Roman"/>
                <w:sz w:val="24"/>
                <w:szCs w:val="24"/>
                <w:lang w:eastAsia="ja-JP"/>
              </w:rPr>
            </w:pPr>
            <w:r w:rsidRPr="009D4714">
              <w:rPr>
                <w:rFonts w:ascii="Times New Roman" w:hAnsi="Times New Roman" w:cs="Times New Roman"/>
                <w:sz w:val="24"/>
                <w:szCs w:val="24"/>
                <w:lang w:eastAsia="ja-JP"/>
              </w:rPr>
              <w:t>Ștefan</w:t>
            </w:r>
            <w:r w:rsidR="002042F7" w:rsidRPr="009D4714">
              <w:rPr>
                <w:rFonts w:ascii="Times New Roman" w:hAnsi="Times New Roman" w:cs="Times New Roman"/>
                <w:sz w:val="24"/>
                <w:szCs w:val="24"/>
                <w:lang w:eastAsia="ja-JP"/>
              </w:rPr>
              <w:t xml:space="preserve"> </w:t>
            </w:r>
            <w:r w:rsidRPr="009D4714">
              <w:rPr>
                <w:rFonts w:ascii="Times New Roman" w:hAnsi="Times New Roman" w:cs="Times New Roman"/>
                <w:sz w:val="24"/>
                <w:szCs w:val="24"/>
                <w:lang w:eastAsia="ja-JP"/>
              </w:rPr>
              <w:t>Seracuța</w:t>
            </w:r>
            <w:r w:rsidR="002042F7" w:rsidRPr="009D4714">
              <w:rPr>
                <w:rFonts w:ascii="Times New Roman" w:hAnsi="Times New Roman" w:cs="Times New Roman"/>
                <w:sz w:val="24"/>
                <w:szCs w:val="24"/>
                <w:lang w:eastAsia="ja-JP"/>
              </w:rPr>
              <w:t xml:space="preserve"> - </w:t>
            </w:r>
            <w:r w:rsidR="00176397" w:rsidRPr="009D4714">
              <w:rPr>
                <w:rFonts w:ascii="Times New Roman" w:hAnsi="Times New Roman" w:cs="Times New Roman"/>
                <w:sz w:val="24"/>
                <w:szCs w:val="24"/>
                <w:lang w:eastAsia="ja-JP"/>
              </w:rPr>
              <w:t>ș</w:t>
            </w:r>
            <w:r w:rsidR="002042F7" w:rsidRPr="009D4714">
              <w:rPr>
                <w:rFonts w:ascii="Times New Roman" w:hAnsi="Times New Roman" w:cs="Times New Roman"/>
                <w:sz w:val="24"/>
                <w:szCs w:val="24"/>
                <w:lang w:eastAsia="ja-JP"/>
              </w:rPr>
              <w:t>ef sec</w:t>
            </w:r>
            <w:r w:rsidR="00176397" w:rsidRPr="009D4714">
              <w:rPr>
                <w:rFonts w:ascii="Times New Roman" w:hAnsi="Times New Roman" w:cs="Times New Roman"/>
                <w:sz w:val="24"/>
                <w:szCs w:val="24"/>
                <w:lang w:eastAsia="ja-JP"/>
              </w:rPr>
              <w:t>ț</w:t>
            </w:r>
            <w:r w:rsidR="002042F7" w:rsidRPr="009D4714">
              <w:rPr>
                <w:rFonts w:ascii="Times New Roman" w:hAnsi="Times New Roman" w:cs="Times New Roman"/>
                <w:sz w:val="24"/>
                <w:szCs w:val="24"/>
                <w:lang w:eastAsia="ja-JP"/>
              </w:rPr>
              <w:t>ie</w:t>
            </w:r>
            <w:r w:rsidR="0035286F" w:rsidRPr="009D4714">
              <w:rPr>
                <w:rFonts w:ascii="Times New Roman" w:hAnsi="Times New Roman" w:cs="Times New Roman"/>
                <w:sz w:val="24"/>
                <w:szCs w:val="24"/>
                <w:lang w:eastAsia="ja-JP"/>
              </w:rPr>
              <w:t>;</w:t>
            </w:r>
            <w:r w:rsidR="007A4650" w:rsidRPr="009D4714">
              <w:rPr>
                <w:rFonts w:ascii="Times New Roman" w:hAnsi="Times New Roman" w:cs="Times New Roman"/>
                <w:sz w:val="24"/>
                <w:szCs w:val="24"/>
                <w:lang w:eastAsia="ja-JP"/>
              </w:rPr>
              <w:t xml:space="preserve"> </w:t>
            </w:r>
            <w:r w:rsidR="002042F7" w:rsidRPr="009D4714">
              <w:rPr>
                <w:rFonts w:ascii="Times New Roman" w:hAnsi="Times New Roman" w:cs="Times New Roman"/>
                <w:sz w:val="24"/>
                <w:szCs w:val="24"/>
                <w:lang w:eastAsia="ja-JP"/>
              </w:rPr>
              <w:t xml:space="preserve"> </w:t>
            </w:r>
          </w:p>
          <w:p w14:paraId="085F37EA" w14:textId="77777777" w:rsidR="0035286F" w:rsidRPr="009D4714" w:rsidRDefault="002042F7" w:rsidP="0035286F">
            <w:pPr>
              <w:rPr>
                <w:lang w:eastAsia="ja-JP"/>
              </w:rPr>
            </w:pPr>
            <w:r w:rsidRPr="009D4714">
              <w:rPr>
                <w:rFonts w:ascii="Times New Roman" w:hAnsi="Times New Roman" w:cs="Times New Roman"/>
                <w:sz w:val="24"/>
                <w:szCs w:val="24"/>
                <w:lang w:eastAsia="ja-JP"/>
              </w:rPr>
              <w:t>Tel: 022 8</w:t>
            </w:r>
            <w:r w:rsidR="000F0AD4" w:rsidRPr="009D4714">
              <w:rPr>
                <w:rFonts w:ascii="Times New Roman" w:hAnsi="Times New Roman" w:cs="Times New Roman"/>
                <w:sz w:val="24"/>
                <w:szCs w:val="24"/>
                <w:lang w:eastAsia="ja-JP"/>
              </w:rPr>
              <w:t>23</w:t>
            </w:r>
            <w:r w:rsidRPr="009D4714">
              <w:rPr>
                <w:rFonts w:ascii="Times New Roman" w:hAnsi="Times New Roman" w:cs="Times New Roman"/>
                <w:sz w:val="24"/>
                <w:szCs w:val="24"/>
                <w:lang w:eastAsia="ja-JP"/>
              </w:rPr>
              <w:t xml:space="preserve"> 934, </w:t>
            </w:r>
            <w:hyperlink r:id="rId9" w:history="1">
              <w:r w:rsidR="000F0AD4" w:rsidRPr="009D4714">
                <w:rPr>
                  <w:rStyle w:val="af5"/>
                  <w:rFonts w:ascii="Times New Roman" w:hAnsi="Times New Roman" w:cs="Times New Roman"/>
                  <w:color w:val="auto"/>
                  <w:sz w:val="24"/>
                  <w:szCs w:val="24"/>
                  <w:lang w:eastAsia="ja-JP"/>
                </w:rPr>
                <w:t>sseracuta@anre.md</w:t>
              </w:r>
            </w:hyperlink>
            <w:r w:rsidR="000F0AD4" w:rsidRPr="009D4714">
              <w:rPr>
                <w:lang w:eastAsia="ja-JP"/>
              </w:rPr>
              <w:t xml:space="preserve"> </w:t>
            </w:r>
          </w:p>
          <w:p w14:paraId="2F2B6A90" w14:textId="292D80F2" w:rsidR="0035286F" w:rsidRPr="009D4714" w:rsidRDefault="0035286F" w:rsidP="0035286F">
            <w:pPr>
              <w:rPr>
                <w:rFonts w:ascii="Times New Roman" w:hAnsi="Times New Roman" w:cs="Times New Roman"/>
                <w:sz w:val="24"/>
                <w:szCs w:val="24"/>
                <w:lang w:eastAsia="ja-JP"/>
              </w:rPr>
            </w:pPr>
            <w:r w:rsidRPr="009D4714">
              <w:rPr>
                <w:rFonts w:ascii="Times New Roman" w:hAnsi="Times New Roman" w:cs="Times New Roman"/>
                <w:sz w:val="24"/>
                <w:szCs w:val="24"/>
                <w:lang w:eastAsia="ja-JP"/>
              </w:rPr>
              <w:t xml:space="preserve">Veaceslav Țurcanu – consultant </w:t>
            </w:r>
          </w:p>
          <w:p w14:paraId="2FA3F2DA" w14:textId="3C7244F8" w:rsidR="0035286F" w:rsidRPr="009D4714" w:rsidRDefault="0035286F" w:rsidP="0035286F">
            <w:pPr>
              <w:rPr>
                <w:rFonts w:ascii="Times New Roman" w:hAnsi="Times New Roman" w:cs="Times New Roman"/>
                <w:sz w:val="24"/>
                <w:szCs w:val="24"/>
                <w:lang w:eastAsia="ja-JP"/>
              </w:rPr>
            </w:pPr>
            <w:r w:rsidRPr="009D4714">
              <w:rPr>
                <w:rFonts w:ascii="Times New Roman" w:hAnsi="Times New Roman" w:cs="Times New Roman"/>
                <w:sz w:val="24"/>
                <w:szCs w:val="24"/>
                <w:lang w:eastAsia="ja-JP"/>
              </w:rPr>
              <w:t xml:space="preserve">Tel: 022 823 934, </w:t>
            </w:r>
            <w:hyperlink r:id="rId10" w:history="1">
              <w:r w:rsidRPr="009D4714">
                <w:rPr>
                  <w:rStyle w:val="af5"/>
                  <w:rFonts w:ascii="Times New Roman" w:hAnsi="Times New Roman" w:cs="Times New Roman"/>
                  <w:color w:val="auto"/>
                  <w:sz w:val="24"/>
                  <w:szCs w:val="24"/>
                  <w:lang w:eastAsia="ja-JP"/>
                </w:rPr>
                <w:t>vturcanu@anre.md</w:t>
              </w:r>
            </w:hyperlink>
          </w:p>
          <w:p w14:paraId="352233A1" w14:textId="3DF5B32C" w:rsidR="002042F7" w:rsidRPr="009D4714" w:rsidRDefault="002042F7" w:rsidP="000F0AD4">
            <w:pPr>
              <w:pBdr>
                <w:top w:val="nil"/>
                <w:left w:val="nil"/>
                <w:bottom w:val="nil"/>
                <w:right w:val="nil"/>
                <w:between w:val="nil"/>
              </w:pBdr>
              <w:rPr>
                <w:rFonts w:ascii="Times New Roman" w:eastAsia="Times New Roman" w:hAnsi="Times New Roman" w:cs="Times New Roman"/>
                <w:sz w:val="24"/>
                <w:szCs w:val="24"/>
              </w:rPr>
            </w:pPr>
          </w:p>
        </w:tc>
      </w:tr>
    </w:tbl>
    <w:tbl>
      <w:tblPr>
        <w:tblStyle w:val="ab"/>
        <w:tblW w:w="9640"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9640"/>
      </w:tblGrid>
      <w:tr w:rsidR="000F0AD4" w:rsidRPr="009D4714" w14:paraId="25DC1BFB" w14:textId="77777777" w:rsidTr="007920FA">
        <w:tc>
          <w:tcPr>
            <w:tcW w:w="9640"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925452F" w14:textId="77777777" w:rsidR="00FB609F" w:rsidRPr="009D4714" w:rsidRDefault="00F62480" w:rsidP="00176397">
            <w:r w:rsidRPr="009D4714">
              <w:rPr>
                <w:b/>
              </w:rPr>
              <w:t> Compartimentele analizei impactului</w:t>
            </w:r>
          </w:p>
        </w:tc>
      </w:tr>
      <w:tr w:rsidR="000F0AD4" w:rsidRPr="009D4714" w14:paraId="536963ED"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82A2210" w14:textId="77777777" w:rsidR="00FB609F" w:rsidRPr="009D4714" w:rsidRDefault="00F62480" w:rsidP="00176397">
            <w:r w:rsidRPr="009D4714">
              <w:rPr>
                <w:b/>
              </w:rPr>
              <w:t>1. Definirea problemei</w:t>
            </w:r>
          </w:p>
        </w:tc>
      </w:tr>
      <w:tr w:rsidR="00FB609F" w:rsidRPr="009D4714" w14:paraId="5590E86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D2B6A12" w14:textId="77777777" w:rsidR="00FB609F" w:rsidRPr="009D4714" w:rsidRDefault="00F62480" w:rsidP="00176397">
            <w:r w:rsidRPr="009D4714">
              <w:rPr>
                <w:b/>
                <w:i/>
              </w:rPr>
              <w:t>a) Determina</w:t>
            </w:r>
            <w:r w:rsidR="00176397" w:rsidRPr="009D4714">
              <w:rPr>
                <w:b/>
                <w:i/>
              </w:rPr>
              <w:t>ț</w:t>
            </w:r>
            <w:r w:rsidRPr="009D4714">
              <w:rPr>
                <w:b/>
                <w:i/>
              </w:rPr>
              <w:t xml:space="preserve">i clar </w:t>
            </w:r>
            <w:r w:rsidR="00176397" w:rsidRPr="009D4714">
              <w:rPr>
                <w:b/>
                <w:i/>
              </w:rPr>
              <w:t>ș</w:t>
            </w:r>
            <w:r w:rsidR="00675F58" w:rsidRPr="009D4714">
              <w:rPr>
                <w:b/>
                <w:i/>
              </w:rPr>
              <w:t>i</w:t>
            </w:r>
            <w:r w:rsidRPr="009D4714">
              <w:rPr>
                <w:b/>
                <w:i/>
              </w:rPr>
              <w:t xml:space="preserve"> concis problema </w:t>
            </w:r>
            <w:r w:rsidR="00176397" w:rsidRPr="009D4714">
              <w:rPr>
                <w:b/>
                <w:i/>
              </w:rPr>
              <w:t>ș</w:t>
            </w:r>
            <w:r w:rsidR="00675F58" w:rsidRPr="009D4714">
              <w:rPr>
                <w:b/>
                <w:i/>
              </w:rPr>
              <w:t>i</w:t>
            </w:r>
            <w:r w:rsidRPr="009D4714">
              <w:rPr>
                <w:b/>
                <w:i/>
              </w:rPr>
              <w:t>/sau problemele care urmează să fie solu</w:t>
            </w:r>
            <w:r w:rsidR="00176397" w:rsidRPr="009D4714">
              <w:rPr>
                <w:b/>
                <w:i/>
              </w:rPr>
              <w:t>ț</w:t>
            </w:r>
            <w:r w:rsidRPr="009D4714">
              <w:rPr>
                <w:b/>
                <w:i/>
              </w:rPr>
              <w:t>ionate</w:t>
            </w:r>
          </w:p>
        </w:tc>
      </w:tr>
      <w:tr w:rsidR="00FB609F" w:rsidRPr="009D4714" w14:paraId="4B403E8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194DA40" w14:textId="2961634E" w:rsidR="00AC6DF9" w:rsidRPr="009D4714" w:rsidRDefault="00350D6C" w:rsidP="00176397">
            <w:pPr>
              <w:tabs>
                <w:tab w:val="left" w:pos="426"/>
              </w:tabs>
              <w:ind w:firstLine="586"/>
              <w:jc w:val="both"/>
            </w:pPr>
            <w:r w:rsidRPr="009D4714">
              <w:t xml:space="preserve">În procesul de implementare a </w:t>
            </w:r>
            <w:r w:rsidR="00AD230A" w:rsidRPr="009D4714">
              <w:t xml:space="preserve">Regulilor pieței energiei electrice </w:t>
            </w:r>
            <w:r w:rsidR="0016384F" w:rsidRPr="0022073A">
              <w:rPr>
                <w:i/>
              </w:rPr>
              <w:t xml:space="preserve">(în continuare – </w:t>
            </w:r>
            <w:r w:rsidR="00AD230A" w:rsidRPr="0022073A">
              <w:rPr>
                <w:i/>
              </w:rPr>
              <w:t>RPEE</w:t>
            </w:r>
            <w:r w:rsidR="0016384F" w:rsidRPr="0022073A">
              <w:rPr>
                <w:i/>
              </w:rPr>
              <w:t>)</w:t>
            </w:r>
            <w:r w:rsidR="0016384F" w:rsidRPr="009D4714">
              <w:t>, aprobat</w:t>
            </w:r>
            <w:r w:rsidR="0035286F" w:rsidRPr="009D4714">
              <w:t>e</w:t>
            </w:r>
            <w:r w:rsidR="0016384F" w:rsidRPr="009D4714">
              <w:t xml:space="preserve"> prin Hotărârea Consiliului de administrație al</w:t>
            </w:r>
            <w:r w:rsidR="0035286F" w:rsidRPr="009D4714">
              <w:t xml:space="preserve"> ANRE</w:t>
            </w:r>
            <w:r w:rsidR="0016384F" w:rsidRPr="009D4714">
              <w:t xml:space="preserve"> nr. </w:t>
            </w:r>
            <w:r w:rsidR="00AD230A" w:rsidRPr="009D4714">
              <w:t>283</w:t>
            </w:r>
            <w:r w:rsidR="0016384F" w:rsidRPr="009D4714">
              <w:t xml:space="preserve"> din </w:t>
            </w:r>
            <w:r w:rsidR="00AD230A" w:rsidRPr="009D4714">
              <w:t>07 august</w:t>
            </w:r>
            <w:r w:rsidR="0016384F" w:rsidRPr="009D4714">
              <w:t xml:space="preserve"> </w:t>
            </w:r>
            <w:r w:rsidR="00AD230A" w:rsidRPr="009D4714">
              <w:t>2020</w:t>
            </w:r>
            <w:r w:rsidR="0035286F" w:rsidRPr="009D4714">
              <w:t xml:space="preserve">, care sunt în vigoare începând cu data de 1 iunie 2022 </w:t>
            </w:r>
            <w:r w:rsidR="00E03C4B" w:rsidRPr="009D4714">
              <w:t xml:space="preserve">au fost identificate anumite </w:t>
            </w:r>
            <w:r w:rsidR="00AD230A" w:rsidRPr="009D4714">
              <w:t xml:space="preserve">neajunsuri și impedimente care duc la </w:t>
            </w:r>
            <w:r w:rsidR="00DF6F8A">
              <w:t>dificultatea</w:t>
            </w:r>
            <w:r w:rsidR="00DF6F8A" w:rsidRPr="009D4714">
              <w:t xml:space="preserve"> </w:t>
            </w:r>
            <w:r w:rsidR="0035286F" w:rsidRPr="009D4714">
              <w:t>punerii în aplicare a</w:t>
            </w:r>
            <w:r w:rsidR="00AD230A" w:rsidRPr="009D4714">
              <w:t xml:space="preserve"> prevederilor RPEE de către participanții pi</w:t>
            </w:r>
            <w:r w:rsidR="00B13548">
              <w:t>e</w:t>
            </w:r>
            <w:r w:rsidR="00AD230A" w:rsidRPr="009D4714">
              <w:t>ț</w:t>
            </w:r>
            <w:r w:rsidR="00B13548">
              <w:t>ei</w:t>
            </w:r>
            <w:r w:rsidR="00AD230A" w:rsidRPr="009D4714">
              <w:t xml:space="preserve"> energiei electrice</w:t>
            </w:r>
            <w:r w:rsidR="002070C1" w:rsidRPr="009D4714">
              <w:t>, precum și la suprapunerea unei poveri financiare suplimentare necesităților reale aferente responsabilității financiare pentru dezechilibrele create de participanții  pi</w:t>
            </w:r>
            <w:r w:rsidR="00B13548">
              <w:t>e</w:t>
            </w:r>
            <w:r w:rsidR="002070C1" w:rsidRPr="009D4714">
              <w:t>ț</w:t>
            </w:r>
            <w:r w:rsidR="00B13548">
              <w:t>ei energiei electrice</w:t>
            </w:r>
            <w:r w:rsidR="002070C1" w:rsidRPr="009D4714">
              <w:t xml:space="preserve">. </w:t>
            </w:r>
            <w:r w:rsidR="00AD230A" w:rsidRPr="009D4714">
              <w:t xml:space="preserve"> </w:t>
            </w:r>
          </w:p>
          <w:p w14:paraId="33BAD25A" w14:textId="01C71320" w:rsidR="00D7324F" w:rsidRPr="009D4714" w:rsidRDefault="00AD230A" w:rsidP="00176397">
            <w:pPr>
              <w:tabs>
                <w:tab w:val="left" w:pos="426"/>
              </w:tabs>
              <w:ind w:firstLine="586"/>
              <w:jc w:val="both"/>
            </w:pPr>
            <w:r w:rsidRPr="009D4714">
              <w:t>Carențele respective nu au putut fi anticipate și luate în considera</w:t>
            </w:r>
            <w:r w:rsidR="002070C1" w:rsidRPr="009D4714">
              <w:t>re</w:t>
            </w:r>
            <w:r w:rsidRPr="009D4714">
              <w:t xml:space="preserve"> la momentul elaborării RPEE, ținând cont de faptul că </w:t>
            </w:r>
            <w:r w:rsidR="0015708B" w:rsidRPr="009D4714">
              <w:t>actul de reglementare respectiv</w:t>
            </w:r>
            <w:r w:rsidR="002070C1" w:rsidRPr="009D4714">
              <w:t xml:space="preserve"> care prevedea crearea piețelor organizate de energie electrică</w:t>
            </w:r>
            <w:r w:rsidR="0015708B" w:rsidRPr="009D4714">
              <w:t xml:space="preserve"> în redacția aprobată reprezenta o „noutate” în sectorul </w:t>
            </w:r>
            <w:r w:rsidR="00C56E83">
              <w:t>e</w:t>
            </w:r>
            <w:r w:rsidR="00B13548">
              <w:t>lectro</w:t>
            </w:r>
            <w:r w:rsidR="0015708B" w:rsidRPr="009D4714">
              <w:t>energe</w:t>
            </w:r>
            <w:r w:rsidR="00B13548">
              <w:t>t</w:t>
            </w:r>
            <w:r w:rsidR="0015708B" w:rsidRPr="009D4714">
              <w:t>i</w:t>
            </w:r>
            <w:r w:rsidR="00B13548">
              <w:t>c</w:t>
            </w:r>
            <w:r w:rsidR="006E78A7" w:rsidRPr="009D4714">
              <w:t xml:space="preserve"> din Republica Moldova, impactul tuturor factorilor exogeni și endogeni fiind greu sau imposibil de evaluat și cu</w:t>
            </w:r>
            <w:r w:rsidR="00AC6DF9" w:rsidRPr="009D4714">
              <w:t xml:space="preserve">antificat la momentul elaborării </w:t>
            </w:r>
            <w:r w:rsidR="0035286F" w:rsidRPr="009D4714">
              <w:t>Regulilor pieței energiei electrice</w:t>
            </w:r>
            <w:r w:rsidR="00AC6DF9" w:rsidRPr="009D4714">
              <w:t>.</w:t>
            </w:r>
            <w:r w:rsidR="006E78A7" w:rsidRPr="009D4714">
              <w:t xml:space="preserve"> </w:t>
            </w:r>
            <w:r w:rsidR="0015708B" w:rsidRPr="009D4714">
              <w:t xml:space="preserve"> </w:t>
            </w:r>
          </w:p>
          <w:p w14:paraId="24CBCA52" w14:textId="77777777" w:rsidR="005D2A36" w:rsidRPr="009D4714" w:rsidRDefault="005D2A36" w:rsidP="00176397">
            <w:pPr>
              <w:tabs>
                <w:tab w:val="left" w:pos="426"/>
              </w:tabs>
              <w:ind w:firstLine="586"/>
              <w:jc w:val="both"/>
            </w:pPr>
          </w:p>
          <w:p w14:paraId="21248BEE" w14:textId="3406C2AF" w:rsidR="00B8156D" w:rsidRPr="009D4714" w:rsidRDefault="00176397" w:rsidP="00176397">
            <w:pPr>
              <w:tabs>
                <w:tab w:val="left" w:pos="360"/>
                <w:tab w:val="left" w:pos="874"/>
                <w:tab w:val="left" w:pos="1016"/>
              </w:tabs>
              <w:ind w:firstLine="587"/>
              <w:jc w:val="both"/>
            </w:pPr>
            <w:r w:rsidRPr="009D4714">
              <w:t xml:space="preserve">Analizând factorii care </w:t>
            </w:r>
            <w:r w:rsidR="00776DA1" w:rsidRPr="009D4714">
              <w:t>condiționează</w:t>
            </w:r>
            <w:r w:rsidRPr="009D4714">
              <w:t xml:space="preserve"> necesitatea modificării </w:t>
            </w:r>
            <w:r w:rsidR="00AC6DF9" w:rsidRPr="009D4714">
              <w:t>RPEE</w:t>
            </w:r>
            <w:r w:rsidRPr="009D4714">
              <w:t xml:space="preserve"> </w:t>
            </w:r>
            <w:r w:rsidR="0035286F" w:rsidRPr="009D4714">
              <w:t>pot fi</w:t>
            </w:r>
            <w:r w:rsidRPr="009D4714">
              <w:t xml:space="preserve"> evidențiat</w:t>
            </w:r>
            <w:r w:rsidR="004F741D" w:rsidRPr="009D4714">
              <w:t>e următoarele</w:t>
            </w:r>
            <w:r w:rsidRPr="009D4714">
              <w:t xml:space="preserve"> problem</w:t>
            </w:r>
            <w:r w:rsidR="004F741D" w:rsidRPr="009D4714">
              <w:t>e</w:t>
            </w:r>
            <w:r w:rsidR="0035286F" w:rsidRPr="009D4714">
              <w:t xml:space="preserve"> fundamentale</w:t>
            </w:r>
            <w:r w:rsidRPr="009D4714">
              <w:t>:</w:t>
            </w:r>
          </w:p>
          <w:p w14:paraId="79547012" w14:textId="0EED39BC" w:rsidR="006F067B" w:rsidRPr="009D4714" w:rsidRDefault="00C54EF0" w:rsidP="00AB1815">
            <w:pPr>
              <w:pStyle w:val="a7"/>
              <w:numPr>
                <w:ilvl w:val="0"/>
                <w:numId w:val="3"/>
              </w:numPr>
              <w:tabs>
                <w:tab w:val="left" w:pos="0"/>
                <w:tab w:val="left" w:pos="426"/>
                <w:tab w:val="left" w:pos="709"/>
                <w:tab w:val="left" w:pos="851"/>
              </w:tabs>
              <w:jc w:val="both"/>
            </w:pPr>
            <w:r>
              <w:t>Necesitatea modificării m</w:t>
            </w:r>
            <w:r w:rsidR="0035286F" w:rsidRPr="009D4714">
              <w:t>ecanismul</w:t>
            </w:r>
            <w:r>
              <w:t>ui</w:t>
            </w:r>
            <w:r w:rsidR="0035286F" w:rsidRPr="009D4714">
              <w:t xml:space="preserve"> de stabilire și aplicare a p</w:t>
            </w:r>
            <w:r w:rsidR="00AC6DF9" w:rsidRPr="009D4714">
              <w:t>rețul</w:t>
            </w:r>
            <w:r w:rsidR="0035286F" w:rsidRPr="009D4714">
              <w:t>ui</w:t>
            </w:r>
            <w:r w:rsidR="00AC6DF9" w:rsidRPr="009D4714">
              <w:t xml:space="preserve"> pentru</w:t>
            </w:r>
            <w:r w:rsidR="0035286F" w:rsidRPr="009D4714">
              <w:t xml:space="preserve"> energia electrică de</w:t>
            </w:r>
            <w:r w:rsidR="00AC6DF9" w:rsidRPr="009D4714">
              <w:t xml:space="preserve"> dezechilibru </w:t>
            </w:r>
            <w:r w:rsidR="00121E36">
              <w:t>în scopul diminuării</w:t>
            </w:r>
            <w:r w:rsidR="00121E36" w:rsidRPr="009D4714">
              <w:t xml:space="preserve"> </w:t>
            </w:r>
            <w:r w:rsidR="00AC6DF9" w:rsidRPr="009D4714">
              <w:t>impactul</w:t>
            </w:r>
            <w:r w:rsidR="00BE6B9F">
              <w:t>ui</w:t>
            </w:r>
            <w:r w:rsidR="00AC6DF9" w:rsidRPr="009D4714">
              <w:t xml:space="preserve"> acestuia asupra </w:t>
            </w:r>
            <w:r w:rsidR="00B57F9B" w:rsidRPr="009D4714">
              <w:t>participanților pi</w:t>
            </w:r>
            <w:r w:rsidR="00B13548">
              <w:t>e</w:t>
            </w:r>
            <w:r w:rsidR="00B57F9B" w:rsidRPr="009D4714">
              <w:t>ț</w:t>
            </w:r>
            <w:r w:rsidR="00B13548">
              <w:t>ei</w:t>
            </w:r>
            <w:r w:rsidR="00B57F9B" w:rsidRPr="009D4714">
              <w:t xml:space="preserve"> energie</w:t>
            </w:r>
            <w:r w:rsidR="00B13548">
              <w:t>i</w:t>
            </w:r>
            <w:r w:rsidR="00B57F9B" w:rsidRPr="009D4714">
              <w:t xml:space="preserve"> electric</w:t>
            </w:r>
            <w:r w:rsidR="00B13548">
              <w:t>e</w:t>
            </w:r>
            <w:r w:rsidR="00AC6DF9" w:rsidRPr="009D4714">
              <w:t xml:space="preserve"> în legătură cu responsabilitatea financiară pentru dezechilibrele create</w:t>
            </w:r>
            <w:r w:rsidR="00B13548">
              <w:t xml:space="preserve"> în rețeaua electrică</w:t>
            </w:r>
            <w:r w:rsidR="00AC6DF9" w:rsidRPr="009D4714">
              <w:t xml:space="preserve">; </w:t>
            </w:r>
          </w:p>
          <w:p w14:paraId="783BA0B3" w14:textId="3A3BB2B5" w:rsidR="009055B2" w:rsidRPr="009D4714" w:rsidRDefault="00F1788D" w:rsidP="00527147">
            <w:pPr>
              <w:pStyle w:val="a7"/>
              <w:numPr>
                <w:ilvl w:val="0"/>
                <w:numId w:val="3"/>
              </w:numPr>
              <w:tabs>
                <w:tab w:val="left" w:pos="0"/>
                <w:tab w:val="left" w:pos="426"/>
                <w:tab w:val="left" w:pos="709"/>
                <w:tab w:val="left" w:pos="851"/>
              </w:tabs>
              <w:jc w:val="both"/>
            </w:pPr>
            <w:r>
              <w:t xml:space="preserve">Necesitatea revizuirii mecanismului </w:t>
            </w:r>
            <w:r w:rsidR="002B50B2">
              <w:t>de r</w:t>
            </w:r>
            <w:r w:rsidR="00AC6DF9" w:rsidRPr="009D4714">
              <w:t>epartizare</w:t>
            </w:r>
            <w:r w:rsidR="0035286F" w:rsidRPr="009D4714">
              <w:t xml:space="preserve"> a </w:t>
            </w:r>
            <w:r w:rsidR="00527147" w:rsidRPr="009D4714">
              <w:t xml:space="preserve">veniturilor </w:t>
            </w:r>
            <w:r w:rsidR="0035286F" w:rsidRPr="009D4714">
              <w:t xml:space="preserve">sau </w:t>
            </w:r>
            <w:r w:rsidR="00AC6DF9" w:rsidRPr="009D4714">
              <w:t>costurilor suplimentare</w:t>
            </w:r>
            <w:r w:rsidR="0035286F" w:rsidRPr="009D4714">
              <w:t xml:space="preserve"> înregistrate</w:t>
            </w:r>
            <w:r w:rsidR="00AC6DF9" w:rsidRPr="009D4714">
              <w:t xml:space="preserve"> </w:t>
            </w:r>
            <w:r w:rsidR="0035286F" w:rsidRPr="009D4714">
              <w:t xml:space="preserve">de operatorul sistemului de transport </w:t>
            </w:r>
            <w:r w:rsidR="0035286F" w:rsidRPr="0022073A">
              <w:rPr>
                <w:i/>
              </w:rPr>
              <w:t>(în continuare – OST)</w:t>
            </w:r>
            <w:r w:rsidR="0035286F" w:rsidRPr="009D4714">
              <w:t xml:space="preserve"> Î.S. „Moldelectrica” în legătură cu procesul de echilibrare a sistemului electroenergetic</w:t>
            </w:r>
            <w:r w:rsidR="009055B2" w:rsidRPr="009D4714">
              <w:t xml:space="preserve">, către părțile responsabile </w:t>
            </w:r>
            <w:r w:rsidR="00B13548">
              <w:t xml:space="preserve">pentru </w:t>
            </w:r>
            <w:r w:rsidR="009055B2" w:rsidRPr="009D4714">
              <w:t xml:space="preserve"> echilibrare</w:t>
            </w:r>
            <w:r w:rsidR="00AE4BF4" w:rsidRPr="009D4714">
              <w:t xml:space="preserve"> </w:t>
            </w:r>
            <w:r w:rsidR="00AE4BF4" w:rsidRPr="0022073A">
              <w:rPr>
                <w:i/>
              </w:rPr>
              <w:t>(în continuare – PRE)</w:t>
            </w:r>
            <w:r w:rsidR="00527147" w:rsidRPr="009D4714">
              <w:t xml:space="preserve"> și repartizarea </w:t>
            </w:r>
            <w:r w:rsidR="002B50B2" w:rsidRPr="002B50B2">
              <w:t xml:space="preserve">echitabilă </w:t>
            </w:r>
            <w:r w:rsidR="002B50B2">
              <w:t xml:space="preserve">a </w:t>
            </w:r>
            <w:r w:rsidR="00527147" w:rsidRPr="009D4714">
              <w:t xml:space="preserve">acestora </w:t>
            </w:r>
            <w:r w:rsidR="00B57F9B" w:rsidRPr="009D4714">
              <w:t xml:space="preserve">între membrii </w:t>
            </w:r>
            <w:r w:rsidR="00527147" w:rsidRPr="009D4714">
              <w:t>grupurilor de echilibrare;</w:t>
            </w:r>
          </w:p>
          <w:p w14:paraId="63AEFD82" w14:textId="4392652C" w:rsidR="00527147" w:rsidRPr="009D4714" w:rsidRDefault="00C54EF0" w:rsidP="00C54EF0">
            <w:pPr>
              <w:pStyle w:val="a7"/>
              <w:numPr>
                <w:ilvl w:val="0"/>
                <w:numId w:val="3"/>
              </w:numPr>
              <w:tabs>
                <w:tab w:val="left" w:pos="0"/>
                <w:tab w:val="left" w:pos="426"/>
                <w:tab w:val="left" w:pos="709"/>
                <w:tab w:val="left" w:pos="851"/>
              </w:tabs>
              <w:jc w:val="both"/>
            </w:pPr>
            <w:r>
              <w:t xml:space="preserve">Lipsa </w:t>
            </w:r>
            <w:r w:rsidR="00747A1B" w:rsidRPr="009D4714">
              <w:t xml:space="preserve"> </w:t>
            </w:r>
            <w:r w:rsidR="00527147" w:rsidRPr="009D4714">
              <w:t>unui algoritm de alocare a</w:t>
            </w:r>
            <w:r w:rsidR="005D7E57">
              <w:t>l</w:t>
            </w:r>
            <w:r w:rsidR="00527147" w:rsidRPr="009D4714">
              <w:t xml:space="preserve"> costurilor și veniturilor între me</w:t>
            </w:r>
            <w:r w:rsidR="000E6D77">
              <w:t>mbrii grupurilor de echilibrare, rezultate din activitatea grupului de echilibrare</w:t>
            </w:r>
            <w:r w:rsidR="00954C69">
              <w:t xml:space="preserve">, care poate fi utilizat </w:t>
            </w:r>
            <w:r w:rsidR="007764F2">
              <w:t>în cadrul grupurilor de echilibrare, dar care în același timp nu poartă un caracter imperativ.</w:t>
            </w:r>
            <w:r w:rsidR="00954C69">
              <w:t xml:space="preserve"> </w:t>
            </w:r>
            <w:r w:rsidR="00527147" w:rsidRPr="009D4714">
              <w:t xml:space="preserve"> </w:t>
            </w:r>
          </w:p>
        </w:tc>
      </w:tr>
      <w:tr w:rsidR="00FB609F" w:rsidRPr="009D4714" w14:paraId="126D5092"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AB2312" w14:textId="77777777" w:rsidR="00FB609F" w:rsidRPr="009D4714" w:rsidRDefault="00F62480" w:rsidP="00176397">
            <w:pPr>
              <w:jc w:val="both"/>
            </w:pPr>
            <w:r w:rsidRPr="009D4714">
              <w:rPr>
                <w:b/>
                <w:i/>
              </w:rPr>
              <w:t>b) Descrie</w:t>
            </w:r>
            <w:r w:rsidR="00176397" w:rsidRPr="009D4714">
              <w:rPr>
                <w:b/>
                <w:i/>
              </w:rPr>
              <w:t>ț</w:t>
            </w:r>
            <w:r w:rsidRPr="009D4714">
              <w:rPr>
                <w:b/>
                <w:i/>
              </w:rPr>
              <w:t>i problema, persoanele/entită</w:t>
            </w:r>
            <w:r w:rsidR="00176397" w:rsidRPr="009D4714">
              <w:rPr>
                <w:b/>
                <w:i/>
              </w:rPr>
              <w:t>ț</w:t>
            </w:r>
            <w:r w:rsidRPr="009D4714">
              <w:rPr>
                <w:b/>
                <w:i/>
              </w:rPr>
              <w:t xml:space="preserve">ile afectate </w:t>
            </w:r>
            <w:r w:rsidR="00176397" w:rsidRPr="009D4714">
              <w:rPr>
                <w:b/>
                <w:i/>
              </w:rPr>
              <w:t>ș</w:t>
            </w:r>
            <w:r w:rsidRPr="009D4714">
              <w:rPr>
                <w:b/>
                <w:i/>
              </w:rPr>
              <w:t>i cele care contribuie la apari</w:t>
            </w:r>
            <w:r w:rsidR="00176397" w:rsidRPr="009D4714">
              <w:rPr>
                <w:b/>
                <w:i/>
              </w:rPr>
              <w:t>ț</w:t>
            </w:r>
            <w:r w:rsidRPr="009D4714">
              <w:rPr>
                <w:b/>
                <w:i/>
              </w:rPr>
              <w:t>ia    problemei, cu justificarea necesită</w:t>
            </w:r>
            <w:r w:rsidR="00176397" w:rsidRPr="009D4714">
              <w:rPr>
                <w:b/>
                <w:i/>
              </w:rPr>
              <w:t>ț</w:t>
            </w:r>
            <w:r w:rsidRPr="009D4714">
              <w:rPr>
                <w:b/>
                <w:i/>
              </w:rPr>
              <w:t>ii schimbării situa</w:t>
            </w:r>
            <w:r w:rsidR="00176397" w:rsidRPr="009D4714">
              <w:rPr>
                <w:b/>
                <w:i/>
              </w:rPr>
              <w:t>ț</w:t>
            </w:r>
            <w:r w:rsidRPr="009D4714">
              <w:rPr>
                <w:b/>
                <w:i/>
              </w:rPr>
              <w:t xml:space="preserve">iei curente </w:t>
            </w:r>
            <w:r w:rsidR="00176397" w:rsidRPr="009D4714">
              <w:rPr>
                <w:b/>
                <w:i/>
              </w:rPr>
              <w:t>ș</w:t>
            </w:r>
            <w:r w:rsidR="00675F58" w:rsidRPr="009D4714">
              <w:rPr>
                <w:b/>
                <w:i/>
              </w:rPr>
              <w:t>i</w:t>
            </w:r>
            <w:r w:rsidRPr="009D4714">
              <w:rPr>
                <w:b/>
                <w:i/>
              </w:rPr>
              <w:t xml:space="preserve"> viitoare, în baza dovezilor </w:t>
            </w:r>
            <w:r w:rsidR="00176397" w:rsidRPr="009D4714">
              <w:rPr>
                <w:b/>
                <w:i/>
              </w:rPr>
              <w:t>ș</w:t>
            </w:r>
            <w:r w:rsidR="00675F58" w:rsidRPr="009D4714">
              <w:rPr>
                <w:b/>
                <w:i/>
              </w:rPr>
              <w:t>i</w:t>
            </w:r>
            <w:r w:rsidRPr="009D4714">
              <w:rPr>
                <w:b/>
                <w:i/>
              </w:rPr>
              <w:t xml:space="preserve"> datelor colectate </w:t>
            </w:r>
            <w:r w:rsidR="00176397" w:rsidRPr="009D4714">
              <w:rPr>
                <w:b/>
                <w:i/>
              </w:rPr>
              <w:t>ș</w:t>
            </w:r>
            <w:r w:rsidRPr="009D4714">
              <w:rPr>
                <w:b/>
                <w:i/>
              </w:rPr>
              <w:t>i examinate</w:t>
            </w:r>
            <w:r w:rsidR="000C6E3E" w:rsidRPr="009D4714">
              <w:rPr>
                <w:b/>
                <w:i/>
              </w:rPr>
              <w:t xml:space="preserve"> </w:t>
            </w:r>
          </w:p>
        </w:tc>
      </w:tr>
      <w:tr w:rsidR="00FB609F" w:rsidRPr="009D4714" w14:paraId="57BF6712"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4BA7EB3" w14:textId="02F603D4" w:rsidR="00515150" w:rsidRPr="009D4714" w:rsidRDefault="00BE6B9F" w:rsidP="00BB5812">
            <w:pPr>
              <w:pStyle w:val="a7"/>
              <w:numPr>
                <w:ilvl w:val="0"/>
                <w:numId w:val="24"/>
              </w:numPr>
              <w:tabs>
                <w:tab w:val="left" w:pos="0"/>
                <w:tab w:val="left" w:pos="426"/>
                <w:tab w:val="left" w:pos="709"/>
                <w:tab w:val="left" w:pos="851"/>
              </w:tabs>
              <w:jc w:val="both"/>
              <w:rPr>
                <w:i/>
              </w:rPr>
            </w:pPr>
            <w:r>
              <w:rPr>
                <w:i/>
              </w:rPr>
              <w:lastRenderedPageBreak/>
              <w:t>Necesitatea modificării m</w:t>
            </w:r>
            <w:r w:rsidR="00BB5812" w:rsidRPr="009D4714">
              <w:rPr>
                <w:i/>
              </w:rPr>
              <w:t>ecanismul</w:t>
            </w:r>
            <w:r w:rsidR="00083A6F">
              <w:rPr>
                <w:i/>
              </w:rPr>
              <w:t>ui</w:t>
            </w:r>
            <w:r w:rsidR="00BB5812" w:rsidRPr="009D4714">
              <w:rPr>
                <w:i/>
              </w:rPr>
              <w:t xml:space="preserve"> de stabilire și aplicare a prețului pentru energia electrică de dezechilibru </w:t>
            </w:r>
            <w:r w:rsidRPr="00BE6B9F">
              <w:rPr>
                <w:i/>
              </w:rPr>
              <w:t>în scopul diminuării</w:t>
            </w:r>
            <w:r w:rsidR="00BB5812" w:rsidRPr="009D4714">
              <w:rPr>
                <w:i/>
              </w:rPr>
              <w:t xml:space="preserve"> impactul</w:t>
            </w:r>
            <w:r>
              <w:rPr>
                <w:i/>
              </w:rPr>
              <w:t>ui</w:t>
            </w:r>
            <w:r w:rsidR="00BB5812" w:rsidRPr="009D4714">
              <w:rPr>
                <w:i/>
              </w:rPr>
              <w:t xml:space="preserve"> acestuia asupra participanților pi</w:t>
            </w:r>
            <w:r w:rsidR="00CD601D">
              <w:rPr>
                <w:i/>
              </w:rPr>
              <w:t>e</w:t>
            </w:r>
            <w:r w:rsidR="00BB5812" w:rsidRPr="009D4714">
              <w:rPr>
                <w:i/>
              </w:rPr>
              <w:t>ț</w:t>
            </w:r>
            <w:r w:rsidR="00CD601D">
              <w:rPr>
                <w:i/>
              </w:rPr>
              <w:t xml:space="preserve">ei energiei electrice </w:t>
            </w:r>
            <w:r w:rsidR="00BB5812" w:rsidRPr="009D4714">
              <w:rPr>
                <w:i/>
              </w:rPr>
              <w:t>în legătură cu responsabilitatea financiară pentru dezechilibrele create</w:t>
            </w:r>
            <w:r w:rsidR="00CD601D">
              <w:rPr>
                <w:i/>
              </w:rPr>
              <w:t xml:space="preserve"> în rețeaua electrică</w:t>
            </w:r>
            <w:r w:rsidR="00BB5812" w:rsidRPr="009D4714">
              <w:rPr>
                <w:i/>
              </w:rPr>
              <w:t>.</w:t>
            </w:r>
          </w:p>
          <w:p w14:paraId="23394DBE" w14:textId="799B6F1C" w:rsidR="00BB5812" w:rsidRPr="009D4714" w:rsidRDefault="00595E6D" w:rsidP="00BB5812">
            <w:pPr>
              <w:pStyle w:val="a7"/>
              <w:tabs>
                <w:tab w:val="left" w:pos="0"/>
                <w:tab w:val="left" w:pos="426"/>
                <w:tab w:val="left" w:pos="709"/>
                <w:tab w:val="left" w:pos="851"/>
              </w:tabs>
              <w:ind w:left="1444"/>
              <w:jc w:val="both"/>
            </w:pPr>
            <w:r w:rsidRPr="009D4714">
              <w:t xml:space="preserve"> </w:t>
            </w:r>
          </w:p>
          <w:p w14:paraId="507B37A7" w14:textId="6B426743" w:rsidR="00DA363B" w:rsidRPr="009D4714" w:rsidRDefault="005842F0" w:rsidP="00DF5055">
            <w:pPr>
              <w:pStyle w:val="a7"/>
              <w:tabs>
                <w:tab w:val="left" w:pos="0"/>
                <w:tab w:val="left" w:pos="426"/>
                <w:tab w:val="left" w:pos="709"/>
                <w:tab w:val="left" w:pos="851"/>
              </w:tabs>
              <w:ind w:left="733"/>
              <w:jc w:val="both"/>
            </w:pPr>
            <w:r w:rsidRPr="009D4714">
              <w:t xml:space="preserve">În redacția actuală a RPEE </w:t>
            </w:r>
            <w:r w:rsidR="00A33CD8" w:rsidRPr="009D4714">
              <w:t>pentru</w:t>
            </w:r>
            <w:r w:rsidRPr="009D4714">
              <w:t xml:space="preserve"> determinarea prețului </w:t>
            </w:r>
            <w:r w:rsidR="001E54BE">
              <w:t>utilizat la</w:t>
            </w:r>
            <w:r w:rsidRPr="009D4714">
              <w:t xml:space="preserve"> decontarea dezechilibrelor părților respo</w:t>
            </w:r>
            <w:r w:rsidR="00A33CD8" w:rsidRPr="009D4714">
              <w:t>nsabile pentru echilibrare sunt utilizate următoarele formule</w:t>
            </w:r>
            <w:r w:rsidR="00DA363B" w:rsidRPr="009D4714">
              <w:t xml:space="preserve">: </w:t>
            </w:r>
          </w:p>
          <w:p w14:paraId="3314633D" w14:textId="6AD2868F" w:rsidR="00275E0B" w:rsidRPr="009D4714" w:rsidRDefault="00275E0B" w:rsidP="00275E0B">
            <w:pPr>
              <w:pStyle w:val="a7"/>
              <w:tabs>
                <w:tab w:val="left" w:pos="0"/>
                <w:tab w:val="left" w:pos="426"/>
                <w:tab w:val="left" w:pos="709"/>
                <w:tab w:val="left" w:pos="851"/>
              </w:tabs>
              <w:spacing w:before="120"/>
              <w:ind w:left="731"/>
              <w:contextualSpacing w:val="0"/>
              <w:jc w:val="both"/>
              <w:rPr>
                <w:i/>
              </w:rPr>
            </w:pPr>
            <w:r w:rsidRPr="009D4714">
              <w:rPr>
                <w:i/>
              </w:rPr>
              <w:t>În cazul prețului pentru deficit</w:t>
            </w:r>
            <w:r w:rsidR="00A33CD8" w:rsidRPr="009D4714">
              <w:rPr>
                <w:i/>
              </w:rPr>
              <w:t xml:space="preserve"> în conformitate cu pct. 690 din RPEE</w:t>
            </w:r>
            <w:r w:rsidRPr="009D4714">
              <w:rPr>
                <w:i/>
              </w:rPr>
              <w:t xml:space="preserve">: </w:t>
            </w:r>
          </w:p>
          <w:p w14:paraId="00A7B243" w14:textId="457A3313" w:rsidR="00A33CD8" w:rsidRPr="009D4714" w:rsidRDefault="005E5606" w:rsidP="00275E0B">
            <w:pPr>
              <w:pStyle w:val="a7"/>
              <w:tabs>
                <w:tab w:val="left" w:pos="0"/>
                <w:tab w:val="left" w:pos="426"/>
                <w:tab w:val="left" w:pos="709"/>
                <w:tab w:val="left" w:pos="851"/>
              </w:tabs>
              <w:spacing w:before="120"/>
              <w:ind w:left="731"/>
              <w:contextualSpacing w:val="0"/>
              <w:jc w:val="both"/>
              <w:rPr>
                <w:i/>
              </w:rPr>
            </w:pPr>
            <m:oMathPara>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r>
                  <w:rPr>
                    <w:rFonts w:ascii="Cambria Math" w:hAnsi="Cambria Math"/>
                  </w:rPr>
                  <m:t xml:space="preserve">=Max </m:t>
                </m:r>
                <m:sSub>
                  <m:sSubPr>
                    <m:ctrlPr>
                      <w:rPr>
                        <w:rFonts w:ascii="Cambria Math" w:hAnsi="Cambria Math"/>
                        <w:i/>
                      </w:rPr>
                    </m:ctrlPr>
                  </m:sSubPr>
                  <m:e>
                    <m:r>
                      <w:rPr>
                        <w:rFonts w:ascii="Cambria Math" w:hAnsi="Cambria Math"/>
                      </w:rPr>
                      <m:t>f</m:t>
                    </m:r>
                  </m:e>
                  <m:sub>
                    <m:r>
                      <w:rPr>
                        <w:rFonts w:ascii="Cambria Math" w:hAnsi="Cambria Math"/>
                      </w:rPr>
                      <m:t>i,def</m:t>
                    </m:r>
                  </m:sub>
                </m:sSub>
                <m:r>
                  <w:rPr>
                    <w:rFonts w:ascii="Cambria Math" w:hAnsi="Cambria Math"/>
                  </w:rPr>
                  <m:t xml:space="preserve">×PIP(i);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(i)</m:t>
                    </m:r>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t∈S</m:t>
                            </m:r>
                          </m:e>
                          <m:sub>
                            <m:r>
                              <w:rPr>
                                <w:rFonts w:ascii="Cambria Math" w:hAnsi="Cambria Math"/>
                              </w:rPr>
                              <m:t>mFRR,C</m:t>
                            </m:r>
                            <m:d>
                              <m:dPr>
                                <m:ctrlPr>
                                  <w:rPr>
                                    <w:rFonts w:ascii="Cambria Math" w:hAnsi="Cambria Math"/>
                                    <w:i/>
                                  </w:rPr>
                                </m:ctrlPr>
                              </m:dPr>
                              <m:e>
                                <m:r>
                                  <w:rPr>
                                    <w:rFonts w:ascii="Cambria Math" w:hAnsi="Cambria Math"/>
                                  </w:rPr>
                                  <m:t>i</m:t>
                                </m:r>
                              </m:e>
                            </m:d>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t∈S</m:t>
                                </m:r>
                              </m:e>
                              <m:sub>
                                <m:r>
                                  <w:rPr>
                                    <w:rFonts w:ascii="Cambria Math" w:hAnsi="Cambria Math"/>
                                  </w:rPr>
                                  <m:t>RR,C</m:t>
                                </m:r>
                                <m:d>
                                  <m:dPr>
                                    <m:ctrlPr>
                                      <w:rPr>
                                        <w:rFonts w:ascii="Cambria Math" w:hAnsi="Cambria Math"/>
                                        <w:i/>
                                      </w:rPr>
                                    </m:ctrlPr>
                                  </m:dPr>
                                  <m:e>
                                    <m:r>
                                      <w:rPr>
                                        <w:rFonts w:ascii="Cambria Math" w:hAnsi="Cambria Math"/>
                                      </w:rPr>
                                      <m:t>i</m:t>
                                    </m:r>
                                  </m:e>
                                </m:d>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e>
                        </m:nary>
                      </m:e>
                    </m:nary>
                  </m:den>
                </m:f>
              </m:oMath>
            </m:oMathPara>
          </w:p>
          <w:p w14:paraId="149E243A" w14:textId="25385014" w:rsidR="00430F2B" w:rsidRPr="009D4714" w:rsidRDefault="00430F2B" w:rsidP="00430F2B">
            <w:pPr>
              <w:tabs>
                <w:tab w:val="left" w:pos="0"/>
                <w:tab w:val="left" w:pos="426"/>
                <w:tab w:val="left" w:pos="709"/>
                <w:tab w:val="left" w:pos="851"/>
              </w:tabs>
              <w:spacing w:before="120"/>
              <w:jc w:val="both"/>
            </w:pPr>
            <w:r w:rsidRPr="009D4714">
              <w:t xml:space="preserve">                            unde: </w:t>
            </w:r>
          </w:p>
          <w:p w14:paraId="7C64C908" w14:textId="77777777" w:rsidR="00430F2B" w:rsidRPr="009D4714" w:rsidRDefault="00430F2B" w:rsidP="00430F2B">
            <w:pPr>
              <w:tabs>
                <w:tab w:val="left" w:pos="0"/>
                <w:tab w:val="left" w:pos="426"/>
                <w:tab w:val="left" w:pos="709"/>
                <w:tab w:val="left" w:pos="851"/>
              </w:tabs>
              <w:spacing w:before="120"/>
              <w:jc w:val="both"/>
            </w:pPr>
          </w:p>
          <w:p w14:paraId="72EB6B8C" w14:textId="78F6C5EA" w:rsidR="0096074D" w:rsidRPr="009D4714" w:rsidRDefault="00A33CD8" w:rsidP="00DA363B">
            <w:pPr>
              <w:pStyle w:val="a7"/>
              <w:numPr>
                <w:ilvl w:val="0"/>
                <w:numId w:val="25"/>
              </w:numPr>
              <w:tabs>
                <w:tab w:val="left" w:pos="0"/>
                <w:tab w:val="left" w:pos="426"/>
                <w:tab w:val="left" w:pos="709"/>
                <w:tab w:val="left" w:pos="851"/>
              </w:tabs>
              <w:jc w:val="both"/>
            </w:pPr>
            <w:r w:rsidRPr="009D4714">
              <w:t xml:space="preserve"> </w:t>
            </w:r>
            <w:r w:rsidR="0096074D" w:rsidRPr="009D4714">
              <w:t>„</w:t>
            </w:r>
            <w:proofErr w:type="spellStart"/>
            <w:r w:rsidR="0096074D" w:rsidRPr="009D4714">
              <w:t>f</w:t>
            </w:r>
            <w:r w:rsidR="0096074D" w:rsidRPr="009D4714">
              <w:rPr>
                <w:vertAlign w:val="subscript"/>
              </w:rPr>
              <w:t>i,def</w:t>
            </w:r>
            <w:proofErr w:type="spellEnd"/>
            <w:r w:rsidR="0096074D" w:rsidRPr="009D4714">
              <w:t>”</w:t>
            </w:r>
            <w:r w:rsidR="00430F2B" w:rsidRPr="009D4714">
              <w:t xml:space="preserve"> – factor pentru dezechilibrele</w:t>
            </w:r>
            <w:r w:rsidR="0096074D" w:rsidRPr="009D4714">
              <w:t xml:space="preserve"> negative ale PRE/grup de echilibrare, mai mare sau egal ca 1 (unu), stabilit de Agenție, în cadrul unei Hotărâri. Factorii de dezechilibru utilizați la moment au fost aprobați în cadrul Hotărârii Consiliului de administrație al ANRE nr. 388 din 30 iunie 2023. </w:t>
            </w:r>
          </w:p>
          <w:p w14:paraId="65D77517" w14:textId="77777777" w:rsidR="0096074D" w:rsidRPr="009D4714" w:rsidRDefault="0096074D" w:rsidP="0096074D">
            <w:pPr>
              <w:pStyle w:val="a7"/>
              <w:tabs>
                <w:tab w:val="left" w:pos="0"/>
                <w:tab w:val="left" w:pos="426"/>
                <w:tab w:val="left" w:pos="709"/>
                <w:tab w:val="left" w:pos="851"/>
              </w:tabs>
              <w:ind w:left="1514"/>
              <w:jc w:val="both"/>
            </w:pPr>
          </w:p>
          <w:p w14:paraId="4F2F9B82" w14:textId="494EC343" w:rsidR="00C77C09" w:rsidRPr="00C77C09" w:rsidRDefault="001E54BE" w:rsidP="00C77C09">
            <w:pPr>
              <w:pStyle w:val="a7"/>
              <w:tabs>
                <w:tab w:val="left" w:pos="0"/>
                <w:tab w:val="left" w:pos="426"/>
                <w:tab w:val="left" w:pos="709"/>
                <w:tab w:val="left" w:pos="851"/>
              </w:tabs>
              <w:ind w:left="1514"/>
              <w:jc w:val="both"/>
            </w:pPr>
            <w:r>
              <w:t xml:space="preserve">În conformitate cu Hotărârea Consiliului de administrație al ANRE nr. 388 din 30 iunie 2023, </w:t>
            </w:r>
            <w:r w:rsidR="00C77C09">
              <w:rPr>
                <w:rFonts w:eastAsia="Calibri"/>
                <w:bCs/>
              </w:rPr>
              <w:t>f</w:t>
            </w:r>
            <w:r w:rsidR="00C77C09" w:rsidRPr="00C77C09">
              <w:rPr>
                <w:rFonts w:eastAsia="Calibri"/>
                <w:bCs/>
              </w:rPr>
              <w:t xml:space="preserve">actorii de dezechilibru </w:t>
            </w:r>
            <w:proofErr w:type="spellStart"/>
            <w:r w:rsidR="00C77C09" w:rsidRPr="00C77C09">
              <w:rPr>
                <w:rFonts w:eastAsia="Calibri"/>
                <w:bCs/>
              </w:rPr>
              <w:t>f</w:t>
            </w:r>
            <w:r w:rsidR="00C77C09" w:rsidRPr="00C77C09">
              <w:rPr>
                <w:rFonts w:eastAsia="Calibri"/>
                <w:bCs/>
                <w:vertAlign w:val="subscript"/>
              </w:rPr>
              <w:t>i,def</w:t>
            </w:r>
            <w:proofErr w:type="spellEnd"/>
            <w:r w:rsidR="00C77C09" w:rsidRPr="00C77C09">
              <w:rPr>
                <w:rFonts w:eastAsia="Calibri"/>
                <w:bCs/>
              </w:rPr>
              <w:t xml:space="preserve">  și  </w:t>
            </w:r>
            <w:proofErr w:type="spellStart"/>
            <w:r w:rsidR="00C77C09" w:rsidRPr="00C77C09">
              <w:rPr>
                <w:rFonts w:eastAsia="Calibri"/>
                <w:bCs/>
              </w:rPr>
              <w:t>f</w:t>
            </w:r>
            <w:r w:rsidR="00C77C09" w:rsidRPr="00C77C09">
              <w:rPr>
                <w:rFonts w:eastAsia="Calibri"/>
                <w:bCs/>
                <w:vertAlign w:val="subscript"/>
              </w:rPr>
              <w:t>i,sur</w:t>
            </w:r>
            <w:proofErr w:type="spellEnd"/>
            <w:r w:rsidR="00C77C09" w:rsidRPr="00C77C09">
              <w:rPr>
                <w:rFonts w:eastAsia="Calibri"/>
                <w:bCs/>
              </w:rPr>
              <w:t xml:space="preserve">, </w:t>
            </w:r>
            <w:r w:rsidR="0022073A">
              <w:rPr>
                <w:rFonts w:eastAsia="Calibri"/>
                <w:bCs/>
              </w:rPr>
              <w:t xml:space="preserve">au </w:t>
            </w:r>
            <w:r w:rsidR="00C77C09" w:rsidRPr="00C77C09">
              <w:rPr>
                <w:rFonts w:eastAsia="Calibri"/>
                <w:bCs/>
              </w:rPr>
              <w:t>valori distincte în următoarele cazuri:</w:t>
            </w:r>
          </w:p>
          <w:p w14:paraId="706DB05A" w14:textId="0F1CD778" w:rsidR="00C77C09" w:rsidRDefault="00C77C09" w:rsidP="004C1438">
            <w:pPr>
              <w:pStyle w:val="a7"/>
              <w:numPr>
                <w:ilvl w:val="0"/>
                <w:numId w:val="42"/>
              </w:numPr>
              <w:tabs>
                <w:tab w:val="left" w:pos="567"/>
              </w:tabs>
              <w:spacing w:line="276" w:lineRule="auto"/>
              <w:ind w:left="2296" w:hanging="426"/>
              <w:jc w:val="both"/>
              <w:rPr>
                <w:rFonts w:eastAsia="Calibri"/>
                <w:bCs/>
              </w:rPr>
            </w:pPr>
            <w:r>
              <w:rPr>
                <w:rFonts w:eastAsia="Calibri"/>
                <w:bCs/>
              </w:rPr>
              <w:t>când operatorul sistemului de transport a activat energie electrică de echilibrare pentru creștere de putere (</w:t>
            </w:r>
            <w:proofErr w:type="spellStart"/>
            <w:r>
              <w:rPr>
                <w:rFonts w:eastAsia="Calibri"/>
                <w:bCs/>
              </w:rPr>
              <w:t>q</w:t>
            </w:r>
            <w:r>
              <w:rPr>
                <w:rFonts w:eastAsia="Calibri"/>
                <w:bCs/>
                <w:vertAlign w:val="subscript"/>
              </w:rPr>
              <w:t>C</w:t>
            </w:r>
            <w:proofErr w:type="spellEnd"/>
            <w:r>
              <w:rPr>
                <w:rFonts w:eastAsia="Calibri"/>
                <w:bCs/>
              </w:rPr>
              <w:t>&gt;</w:t>
            </w:r>
            <w:proofErr w:type="spellStart"/>
            <w:r>
              <w:rPr>
                <w:rFonts w:eastAsia="Calibri"/>
                <w:bCs/>
              </w:rPr>
              <w:t>q</w:t>
            </w:r>
            <w:r>
              <w:rPr>
                <w:rFonts w:eastAsia="Calibri"/>
                <w:bCs/>
                <w:vertAlign w:val="subscript"/>
              </w:rPr>
              <w:t>R</w:t>
            </w:r>
            <w:proofErr w:type="spellEnd"/>
            <w:r>
              <w:rPr>
                <w:rFonts w:eastAsia="Calibri"/>
                <w:bCs/>
              </w:rPr>
              <w:t>)</w:t>
            </w:r>
          </w:p>
          <w:p w14:paraId="6082D6E1" w14:textId="77777777" w:rsidR="0049473B" w:rsidRDefault="0049473B" w:rsidP="0049473B">
            <w:pPr>
              <w:pStyle w:val="a7"/>
              <w:tabs>
                <w:tab w:val="left" w:pos="567"/>
              </w:tabs>
              <w:spacing w:line="276" w:lineRule="auto"/>
              <w:ind w:left="2296"/>
              <w:jc w:val="both"/>
              <w:rPr>
                <w:rFonts w:eastAsia="Calibri"/>
                <w:bCs/>
              </w:rPr>
            </w:pPr>
          </w:p>
          <w:p w14:paraId="3B135CA4" w14:textId="77777777" w:rsidR="00C77C09" w:rsidRDefault="00C77C09" w:rsidP="00C77C09">
            <w:pPr>
              <w:pStyle w:val="a7"/>
              <w:tabs>
                <w:tab w:val="left" w:pos="567"/>
                <w:tab w:val="left" w:pos="851"/>
              </w:tabs>
              <w:spacing w:line="276" w:lineRule="auto"/>
              <w:ind w:left="1213"/>
              <w:jc w:val="center"/>
              <w:rPr>
                <w:rFonts w:eastAsia="Calibri"/>
                <w:bCs/>
              </w:rPr>
            </w:pPr>
            <w:proofErr w:type="spellStart"/>
            <w:r>
              <w:rPr>
                <w:rFonts w:eastAsia="Calibri"/>
                <w:bCs/>
              </w:rPr>
              <w:t>f</w:t>
            </w:r>
            <w:r>
              <w:rPr>
                <w:rFonts w:eastAsia="Calibri"/>
                <w:bCs/>
                <w:vertAlign w:val="subscript"/>
              </w:rPr>
              <w:t>i,def</w:t>
            </w:r>
            <w:proofErr w:type="spellEnd"/>
            <w:r>
              <w:rPr>
                <w:rFonts w:eastAsia="Calibri"/>
                <w:bCs/>
              </w:rPr>
              <w:t xml:space="preserve"> = 1,0 iar  </w:t>
            </w:r>
            <w:proofErr w:type="spellStart"/>
            <w:r>
              <w:rPr>
                <w:rFonts w:eastAsia="Calibri"/>
                <w:bCs/>
              </w:rPr>
              <w:t>f</w:t>
            </w:r>
            <w:r>
              <w:rPr>
                <w:rFonts w:eastAsia="Calibri"/>
                <w:bCs/>
                <w:vertAlign w:val="subscript"/>
              </w:rPr>
              <w:t>i,sur</w:t>
            </w:r>
            <w:proofErr w:type="spellEnd"/>
            <w:r>
              <w:rPr>
                <w:rFonts w:eastAsia="Calibri"/>
                <w:bCs/>
              </w:rPr>
              <w:t xml:space="preserve"> = 0,6</w:t>
            </w:r>
          </w:p>
          <w:p w14:paraId="70D5C170" w14:textId="1738DBB7" w:rsidR="00C77C09" w:rsidRDefault="00C77C09" w:rsidP="004C1438">
            <w:pPr>
              <w:pStyle w:val="a7"/>
              <w:numPr>
                <w:ilvl w:val="0"/>
                <w:numId w:val="42"/>
              </w:numPr>
              <w:tabs>
                <w:tab w:val="left" w:pos="567"/>
              </w:tabs>
              <w:spacing w:line="276" w:lineRule="auto"/>
              <w:ind w:left="2296" w:hanging="426"/>
              <w:jc w:val="both"/>
              <w:rPr>
                <w:rFonts w:eastAsia="Calibri"/>
                <w:bCs/>
              </w:rPr>
            </w:pPr>
            <w:r>
              <w:rPr>
                <w:rFonts w:eastAsia="Calibri"/>
                <w:bCs/>
              </w:rPr>
              <w:t>când operatorul sistemului de transport  a activat energie electrică de echilibrare pentru reducere de putere (</w:t>
            </w:r>
            <w:proofErr w:type="spellStart"/>
            <w:r>
              <w:rPr>
                <w:rFonts w:eastAsia="Calibri"/>
                <w:bCs/>
              </w:rPr>
              <w:t>q</w:t>
            </w:r>
            <w:r>
              <w:rPr>
                <w:rFonts w:eastAsia="Calibri"/>
                <w:bCs/>
                <w:vertAlign w:val="subscript"/>
              </w:rPr>
              <w:t>C</w:t>
            </w:r>
            <w:proofErr w:type="spellEnd"/>
            <w:r>
              <w:rPr>
                <w:rFonts w:eastAsia="Calibri"/>
                <w:bCs/>
              </w:rPr>
              <w:t>&lt;</w:t>
            </w:r>
            <w:proofErr w:type="spellStart"/>
            <w:r>
              <w:rPr>
                <w:rFonts w:eastAsia="Calibri"/>
                <w:bCs/>
              </w:rPr>
              <w:t>q</w:t>
            </w:r>
            <w:r>
              <w:rPr>
                <w:rFonts w:eastAsia="Calibri"/>
                <w:bCs/>
                <w:vertAlign w:val="subscript"/>
              </w:rPr>
              <w:t>R</w:t>
            </w:r>
            <w:proofErr w:type="spellEnd"/>
            <w:r>
              <w:rPr>
                <w:rFonts w:eastAsia="Calibri"/>
                <w:bCs/>
              </w:rPr>
              <w:t>)</w:t>
            </w:r>
          </w:p>
          <w:p w14:paraId="7B51CB0D" w14:textId="77777777" w:rsidR="0049473B" w:rsidRDefault="0049473B" w:rsidP="0049473B">
            <w:pPr>
              <w:pStyle w:val="a7"/>
              <w:tabs>
                <w:tab w:val="left" w:pos="567"/>
              </w:tabs>
              <w:spacing w:line="276" w:lineRule="auto"/>
              <w:ind w:left="2296"/>
              <w:jc w:val="both"/>
              <w:rPr>
                <w:rFonts w:eastAsia="Calibri"/>
                <w:bCs/>
              </w:rPr>
            </w:pPr>
          </w:p>
          <w:p w14:paraId="536AD8ED" w14:textId="5B250475" w:rsidR="00C77C09" w:rsidRDefault="00C77C09" w:rsidP="00C77C09">
            <w:pPr>
              <w:pStyle w:val="a7"/>
              <w:tabs>
                <w:tab w:val="left" w:pos="567"/>
                <w:tab w:val="left" w:pos="851"/>
              </w:tabs>
              <w:spacing w:line="276" w:lineRule="auto"/>
              <w:ind w:left="1213"/>
              <w:jc w:val="center"/>
              <w:rPr>
                <w:rFonts w:eastAsia="Calibri"/>
                <w:bCs/>
              </w:rPr>
            </w:pPr>
            <w:proofErr w:type="spellStart"/>
            <w:r>
              <w:rPr>
                <w:rFonts w:eastAsia="Calibri"/>
                <w:bCs/>
              </w:rPr>
              <w:t>f</w:t>
            </w:r>
            <w:r>
              <w:rPr>
                <w:rFonts w:eastAsia="Calibri"/>
                <w:bCs/>
                <w:vertAlign w:val="subscript"/>
              </w:rPr>
              <w:t>i,def</w:t>
            </w:r>
            <w:proofErr w:type="spellEnd"/>
            <w:r>
              <w:rPr>
                <w:rFonts w:eastAsia="Calibri"/>
                <w:bCs/>
              </w:rPr>
              <w:t xml:space="preserve"> = 1,0 iar  </w:t>
            </w:r>
            <w:proofErr w:type="spellStart"/>
            <w:r>
              <w:rPr>
                <w:rFonts w:eastAsia="Calibri"/>
                <w:bCs/>
              </w:rPr>
              <w:t>f</w:t>
            </w:r>
            <w:r>
              <w:rPr>
                <w:rFonts w:eastAsia="Calibri"/>
                <w:bCs/>
                <w:vertAlign w:val="subscript"/>
              </w:rPr>
              <w:t>i,sur</w:t>
            </w:r>
            <w:proofErr w:type="spellEnd"/>
            <w:r>
              <w:rPr>
                <w:rFonts w:eastAsia="Calibri"/>
                <w:bCs/>
              </w:rPr>
              <w:t xml:space="preserve"> = 0,4</w:t>
            </w:r>
          </w:p>
          <w:p w14:paraId="4510E406" w14:textId="5C819007" w:rsidR="00C77C09" w:rsidRDefault="00C77C09" w:rsidP="004C1438">
            <w:pPr>
              <w:pStyle w:val="a7"/>
              <w:numPr>
                <w:ilvl w:val="0"/>
                <w:numId w:val="42"/>
              </w:numPr>
              <w:tabs>
                <w:tab w:val="left" w:pos="567"/>
              </w:tabs>
              <w:spacing w:line="276" w:lineRule="auto"/>
              <w:ind w:left="2296" w:hanging="426"/>
              <w:jc w:val="both"/>
              <w:rPr>
                <w:rFonts w:eastAsia="Calibri"/>
                <w:bCs/>
              </w:rPr>
            </w:pPr>
            <w:r>
              <w:rPr>
                <w:rFonts w:eastAsia="Calibri"/>
                <w:bCs/>
              </w:rPr>
              <w:t>când operatorul sistemului de transport  nu a activat energie electrică de echilibrare (</w:t>
            </w:r>
            <w:proofErr w:type="spellStart"/>
            <w:r>
              <w:rPr>
                <w:rFonts w:eastAsia="Calibri"/>
                <w:bCs/>
              </w:rPr>
              <w:t>q</w:t>
            </w:r>
            <w:r>
              <w:rPr>
                <w:rFonts w:eastAsia="Calibri"/>
                <w:bCs/>
                <w:vertAlign w:val="subscript"/>
              </w:rPr>
              <w:t>C</w:t>
            </w:r>
            <w:proofErr w:type="spellEnd"/>
            <w:r>
              <w:rPr>
                <w:rFonts w:eastAsia="Calibri"/>
                <w:bCs/>
              </w:rPr>
              <w:t>=</w:t>
            </w:r>
            <w:proofErr w:type="spellStart"/>
            <w:r>
              <w:rPr>
                <w:rFonts w:eastAsia="Calibri"/>
                <w:bCs/>
              </w:rPr>
              <w:t>q</w:t>
            </w:r>
            <w:r>
              <w:rPr>
                <w:rFonts w:eastAsia="Calibri"/>
                <w:bCs/>
                <w:vertAlign w:val="subscript"/>
              </w:rPr>
              <w:t>R</w:t>
            </w:r>
            <w:proofErr w:type="spellEnd"/>
            <w:r>
              <w:rPr>
                <w:rFonts w:eastAsia="Calibri"/>
                <w:bCs/>
              </w:rPr>
              <w:t xml:space="preserve"> sau </w:t>
            </w:r>
            <w:proofErr w:type="spellStart"/>
            <w:r>
              <w:rPr>
                <w:rFonts w:eastAsia="Calibri"/>
                <w:bCs/>
              </w:rPr>
              <w:t>q</w:t>
            </w:r>
            <w:r>
              <w:rPr>
                <w:rFonts w:eastAsia="Calibri"/>
                <w:bCs/>
                <w:vertAlign w:val="subscript"/>
              </w:rPr>
              <w:t>C</w:t>
            </w:r>
            <w:proofErr w:type="spellEnd"/>
            <w:r>
              <w:rPr>
                <w:rFonts w:eastAsia="Calibri"/>
                <w:bCs/>
                <w:vertAlign w:val="subscript"/>
              </w:rPr>
              <w:t xml:space="preserve"> </w:t>
            </w:r>
            <w:r>
              <w:rPr>
                <w:rFonts w:eastAsia="Calibri"/>
                <w:bCs/>
              </w:rPr>
              <w:t xml:space="preserve">= 0 și </w:t>
            </w:r>
            <w:proofErr w:type="spellStart"/>
            <w:r>
              <w:rPr>
                <w:rFonts w:eastAsia="Calibri"/>
                <w:bCs/>
              </w:rPr>
              <w:t>q</w:t>
            </w:r>
            <w:r>
              <w:rPr>
                <w:rFonts w:eastAsia="Calibri"/>
                <w:bCs/>
                <w:vertAlign w:val="subscript"/>
              </w:rPr>
              <w:t>R</w:t>
            </w:r>
            <w:proofErr w:type="spellEnd"/>
            <w:r>
              <w:rPr>
                <w:rFonts w:eastAsia="Calibri"/>
                <w:bCs/>
              </w:rPr>
              <w:t xml:space="preserve"> = 0)</w:t>
            </w:r>
          </w:p>
          <w:p w14:paraId="717F370E" w14:textId="77777777" w:rsidR="0049473B" w:rsidRDefault="0049473B" w:rsidP="0049473B">
            <w:pPr>
              <w:pStyle w:val="a7"/>
              <w:tabs>
                <w:tab w:val="left" w:pos="567"/>
              </w:tabs>
              <w:spacing w:line="276" w:lineRule="auto"/>
              <w:ind w:left="2296"/>
              <w:jc w:val="both"/>
              <w:rPr>
                <w:rFonts w:eastAsia="Calibri"/>
                <w:bCs/>
              </w:rPr>
            </w:pPr>
          </w:p>
          <w:p w14:paraId="3408918C" w14:textId="77777777" w:rsidR="00C77C09" w:rsidRDefault="00C77C09" w:rsidP="00C77C09">
            <w:pPr>
              <w:pStyle w:val="a7"/>
              <w:tabs>
                <w:tab w:val="left" w:pos="567"/>
                <w:tab w:val="left" w:pos="851"/>
              </w:tabs>
              <w:spacing w:line="276" w:lineRule="auto"/>
              <w:ind w:left="1213"/>
              <w:jc w:val="center"/>
              <w:rPr>
                <w:rFonts w:eastAsia="Calibri"/>
                <w:bCs/>
              </w:rPr>
            </w:pPr>
            <w:proofErr w:type="spellStart"/>
            <w:r>
              <w:rPr>
                <w:rFonts w:eastAsia="Calibri"/>
                <w:bCs/>
              </w:rPr>
              <w:t>f</w:t>
            </w:r>
            <w:r>
              <w:rPr>
                <w:rFonts w:eastAsia="Calibri"/>
                <w:bCs/>
                <w:vertAlign w:val="subscript"/>
              </w:rPr>
              <w:t>i,def</w:t>
            </w:r>
            <w:proofErr w:type="spellEnd"/>
            <w:r>
              <w:rPr>
                <w:rFonts w:eastAsia="Calibri"/>
                <w:bCs/>
              </w:rPr>
              <w:t xml:space="preserve"> = 1,0 iar  </w:t>
            </w:r>
            <w:proofErr w:type="spellStart"/>
            <w:r>
              <w:rPr>
                <w:rFonts w:eastAsia="Calibri"/>
                <w:bCs/>
              </w:rPr>
              <w:t>f</w:t>
            </w:r>
            <w:r>
              <w:rPr>
                <w:rFonts w:eastAsia="Calibri"/>
                <w:bCs/>
                <w:vertAlign w:val="subscript"/>
              </w:rPr>
              <w:t>i,sur</w:t>
            </w:r>
            <w:proofErr w:type="spellEnd"/>
            <w:r>
              <w:rPr>
                <w:rFonts w:eastAsia="Calibri"/>
                <w:bCs/>
              </w:rPr>
              <w:t xml:space="preserve"> = 0,6</w:t>
            </w:r>
          </w:p>
          <w:p w14:paraId="18E73053" w14:textId="72345EFB" w:rsidR="0096074D" w:rsidRPr="009D4714" w:rsidRDefault="0096074D" w:rsidP="0096074D">
            <w:pPr>
              <w:pStyle w:val="a7"/>
              <w:tabs>
                <w:tab w:val="left" w:pos="0"/>
                <w:tab w:val="left" w:pos="426"/>
                <w:tab w:val="left" w:pos="709"/>
                <w:tab w:val="left" w:pos="851"/>
              </w:tabs>
              <w:ind w:left="1514"/>
              <w:jc w:val="both"/>
            </w:pPr>
            <w:r w:rsidRPr="009D4714">
              <w:t xml:space="preserve">  </w:t>
            </w:r>
          </w:p>
          <w:p w14:paraId="25F5D832" w14:textId="4A5C4BF2" w:rsidR="00DF5055" w:rsidRPr="009D4714" w:rsidRDefault="00DA363B" w:rsidP="00DA363B">
            <w:pPr>
              <w:pStyle w:val="a7"/>
              <w:numPr>
                <w:ilvl w:val="0"/>
                <w:numId w:val="25"/>
              </w:numPr>
              <w:tabs>
                <w:tab w:val="left" w:pos="0"/>
                <w:tab w:val="left" w:pos="426"/>
                <w:tab w:val="left" w:pos="709"/>
                <w:tab w:val="left" w:pos="851"/>
              </w:tabs>
              <w:jc w:val="both"/>
            </w:pPr>
            <w:r w:rsidRPr="009D4714">
              <w:t>Prețul de închidere a pieței</w:t>
            </w:r>
            <w:r w:rsidR="00430F2B" w:rsidRPr="009D4714">
              <w:t xml:space="preserve"> pentru zona națională de tranzacționare</w:t>
            </w:r>
            <w:r w:rsidRPr="009D4714">
              <w:t xml:space="preserve"> </w:t>
            </w:r>
            <w:r w:rsidRPr="0022073A">
              <w:rPr>
                <w:i/>
              </w:rPr>
              <w:t>(în continuare – PIP)</w:t>
            </w:r>
            <w:r w:rsidRPr="009D4714">
              <w:t xml:space="preserve">, care reprezintă prețul la care sunt </w:t>
            </w:r>
            <w:r w:rsidR="00AB28E0" w:rsidRPr="009D4714">
              <w:t xml:space="preserve">încheiate tranzacțiile pe piața zilei următoare </w:t>
            </w:r>
            <w:r w:rsidR="00AB28E0" w:rsidRPr="0022073A">
              <w:rPr>
                <w:i/>
              </w:rPr>
              <w:t>(în continuare – PZU)</w:t>
            </w:r>
            <w:r w:rsidR="00AB28E0" w:rsidRPr="009D4714">
              <w:t xml:space="preserve"> într-un anumit interval de tranzacționare. De menționat aici că, în conformitate cu pct. 780 din RPEE până la lansarea </w:t>
            </w:r>
            <w:r w:rsidR="00275E0B" w:rsidRPr="009D4714">
              <w:t xml:space="preserve">PZU, OST va utiliza în procesul de decontare al dezechilibrelor PRE prețul de închidere al pieței aplicabil intervalului de dispecerizare respectiv obținut pe piața zile următoare din Ucraina. </w:t>
            </w:r>
            <w:r w:rsidRPr="009D4714">
              <w:t xml:space="preserve"> </w:t>
            </w:r>
          </w:p>
          <w:p w14:paraId="092513B6" w14:textId="614ECB2C" w:rsidR="0096074D" w:rsidRPr="009D4714" w:rsidRDefault="0096074D" w:rsidP="0096074D">
            <w:pPr>
              <w:pStyle w:val="a7"/>
              <w:numPr>
                <w:ilvl w:val="0"/>
                <w:numId w:val="25"/>
              </w:numPr>
              <w:tabs>
                <w:tab w:val="left" w:pos="0"/>
                <w:tab w:val="left" w:pos="426"/>
                <w:tab w:val="left" w:pos="709"/>
                <w:tab w:val="left" w:pos="851"/>
              </w:tabs>
              <w:jc w:val="both"/>
            </w:pPr>
            <w:r w:rsidRPr="009D4714">
              <w:t>Costul pentru echilibrarea sistemului la creștere de putere</w:t>
            </w:r>
            <w:r w:rsidR="00C03F04" w:rsidRPr="009D4714">
              <w:t xml:space="preserve"> („R</w:t>
            </w:r>
            <w:r w:rsidR="00C03F04" w:rsidRPr="009D4714">
              <w:rPr>
                <w:vertAlign w:val="subscript"/>
              </w:rPr>
              <w:t>C(i)</w:t>
            </w:r>
            <w:r w:rsidR="00C03F04" w:rsidRPr="009D4714">
              <w:t>”)</w:t>
            </w:r>
            <w:r w:rsidRPr="009D4714">
              <w:t xml:space="preserve"> în intervalul de dispecerizare „i” determinat conform prevederilor secțiunii 4 din Capitolul 4 al RPEE. </w:t>
            </w:r>
          </w:p>
          <w:p w14:paraId="26D53C70" w14:textId="0BDB87C6" w:rsidR="00595E6D" w:rsidRPr="009D4714" w:rsidRDefault="005E5606" w:rsidP="0096074D">
            <w:pPr>
              <w:pStyle w:val="a7"/>
              <w:numPr>
                <w:ilvl w:val="0"/>
                <w:numId w:val="25"/>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oMath>
            <w:r w:rsidR="00595E6D" w:rsidRPr="009D4714">
              <w:t xml:space="preserve"> cantitatea de energie electrică de echilibrare livrată ca urmare a tranzacției „t”, în intervalul de dispecerizare „i”</w:t>
            </w:r>
          </w:p>
          <w:p w14:paraId="01F2BAFE" w14:textId="73B49741" w:rsidR="00C03F04" w:rsidRPr="009D4714" w:rsidRDefault="005E5606" w:rsidP="0096074D">
            <w:pPr>
              <w:pStyle w:val="a7"/>
              <w:numPr>
                <w:ilvl w:val="0"/>
                <w:numId w:val="25"/>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S</m:t>
                  </m:r>
                </m:e>
                <m:sub>
                  <m:r>
                    <w:rPr>
                      <w:rFonts w:ascii="Cambria Math" w:hAnsi="Cambria Math"/>
                    </w:rPr>
                    <m:t>mFRR,C</m:t>
                  </m:r>
                  <m:d>
                    <m:dPr>
                      <m:ctrlPr>
                        <w:rPr>
                          <w:rFonts w:ascii="Cambria Math" w:hAnsi="Cambria Math"/>
                          <w:i/>
                        </w:rPr>
                      </m:ctrlPr>
                    </m:dPr>
                    <m:e>
                      <m:r>
                        <w:rPr>
                          <w:rFonts w:ascii="Cambria Math" w:hAnsi="Cambria Math"/>
                        </w:rPr>
                        <m:t>i</m:t>
                      </m:r>
                    </m:e>
                  </m:d>
                </m:sub>
              </m:sSub>
            </m:oMath>
            <w:r w:rsidR="00083A6F">
              <w:t xml:space="preserve"> </w:t>
            </w:r>
            <w:r w:rsidR="00430F2B" w:rsidRPr="009D4714">
              <w:t>t</w:t>
            </w:r>
            <w:r w:rsidR="00595E6D" w:rsidRPr="009D4714">
              <w:t>oate t</w:t>
            </w:r>
            <w:r w:rsidR="00C03F04" w:rsidRPr="009D4714">
              <w:t>ranzacțiile</w:t>
            </w:r>
            <w:r w:rsidR="0004656E" w:rsidRPr="009D4714">
              <w:t xml:space="preserve"> </w:t>
            </w:r>
            <w:r w:rsidR="00595E6D" w:rsidRPr="009D4714">
              <w:t xml:space="preserve">pentru livrarea energiei electrice </w:t>
            </w:r>
            <w:r w:rsidR="00C03F04" w:rsidRPr="009D4714">
              <w:t>de echilibrare</w:t>
            </w:r>
            <w:r w:rsidR="0004656E" w:rsidRPr="009D4714">
              <w:t xml:space="preserve"> </w:t>
            </w:r>
            <w:r w:rsidR="00C03F04" w:rsidRPr="009D4714">
              <w:t xml:space="preserve">corespunzătoare procesului de restabilire manuală a frecvenței de creștere de putere </w:t>
            </w:r>
            <w:r w:rsidR="00C03F04" w:rsidRPr="009D4714">
              <w:lastRenderedPageBreak/>
              <w:t>care au fost utilizate pentru echilibrarea sistemului în intervalul de dispecerizare „i”;</w:t>
            </w:r>
          </w:p>
          <w:p w14:paraId="53A0D4E4" w14:textId="0180C43F" w:rsidR="0004656E" w:rsidRPr="009D4714" w:rsidRDefault="005E5606" w:rsidP="0004656E">
            <w:pPr>
              <w:pStyle w:val="a7"/>
              <w:numPr>
                <w:ilvl w:val="0"/>
                <w:numId w:val="25"/>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S</m:t>
                  </m:r>
                </m:e>
                <m:sub>
                  <m:r>
                    <w:rPr>
                      <w:rFonts w:ascii="Cambria Math" w:hAnsi="Cambria Math"/>
                    </w:rPr>
                    <m:t>RR,C</m:t>
                  </m:r>
                  <m:d>
                    <m:dPr>
                      <m:ctrlPr>
                        <w:rPr>
                          <w:rFonts w:ascii="Cambria Math" w:hAnsi="Cambria Math"/>
                          <w:i/>
                        </w:rPr>
                      </m:ctrlPr>
                    </m:dPr>
                    <m:e>
                      <m:r>
                        <w:rPr>
                          <w:rFonts w:ascii="Cambria Math" w:hAnsi="Cambria Math"/>
                        </w:rPr>
                        <m:t>i</m:t>
                      </m:r>
                    </m:e>
                  </m:d>
                </m:sub>
              </m:sSub>
            </m:oMath>
            <w:r w:rsidR="00430F2B" w:rsidRPr="009D4714">
              <w:t xml:space="preserve"> t</w:t>
            </w:r>
            <w:r w:rsidR="00595E6D" w:rsidRPr="009D4714">
              <w:t>oate tranzacțiile pentru livrarea energiei electrice de echilibrare corespunzătoare procesului de înlocuirea a rezervelor de creștere de putere care au fost utilizate pentru echilibrarea sistemului în intervalul de dispecerizare „i”;</w:t>
            </w:r>
          </w:p>
          <w:p w14:paraId="3A5B51CA" w14:textId="7DBE72D5" w:rsidR="00C03F04" w:rsidRPr="009D4714" w:rsidRDefault="00C03F04" w:rsidP="00A33CD8">
            <w:pPr>
              <w:pStyle w:val="a7"/>
              <w:tabs>
                <w:tab w:val="left" w:pos="0"/>
                <w:tab w:val="left" w:pos="426"/>
                <w:tab w:val="left" w:pos="709"/>
                <w:tab w:val="left" w:pos="851"/>
              </w:tabs>
              <w:ind w:left="1514"/>
              <w:jc w:val="both"/>
            </w:pPr>
          </w:p>
          <w:p w14:paraId="276E77F2" w14:textId="755BE4A8" w:rsidR="00B50D8F" w:rsidRPr="009D4714" w:rsidRDefault="00B50D8F" w:rsidP="00B50D8F">
            <w:pPr>
              <w:pStyle w:val="a7"/>
              <w:tabs>
                <w:tab w:val="left" w:pos="0"/>
                <w:tab w:val="left" w:pos="426"/>
                <w:tab w:val="left" w:pos="709"/>
                <w:tab w:val="left" w:pos="851"/>
              </w:tabs>
              <w:spacing w:before="120"/>
              <w:ind w:left="731"/>
              <w:contextualSpacing w:val="0"/>
              <w:jc w:val="both"/>
              <w:rPr>
                <w:i/>
              </w:rPr>
            </w:pPr>
            <w:r w:rsidRPr="00C77C09">
              <w:rPr>
                <w:i/>
              </w:rPr>
              <w:t>În cazul prețului pentru excedent în conformitate cu pct. 691 din RPEE:</w:t>
            </w:r>
            <w:r w:rsidRPr="009D4714">
              <w:rPr>
                <w:i/>
              </w:rPr>
              <w:t xml:space="preserve"> </w:t>
            </w:r>
          </w:p>
          <w:p w14:paraId="3D418B52" w14:textId="08C43C2F" w:rsidR="00430F2B" w:rsidRPr="009D4714" w:rsidRDefault="005E5606" w:rsidP="00430F2B">
            <w:pPr>
              <w:pStyle w:val="a7"/>
              <w:tabs>
                <w:tab w:val="left" w:pos="0"/>
                <w:tab w:val="left" w:pos="426"/>
                <w:tab w:val="left" w:pos="709"/>
                <w:tab w:val="left" w:pos="851"/>
              </w:tabs>
              <w:spacing w:before="120"/>
              <w:ind w:left="731"/>
              <w:contextualSpacing w:val="0"/>
              <w:jc w:val="both"/>
              <w:rPr>
                <w:i/>
              </w:rPr>
            </w:pPr>
            <m:oMathPara>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i,sur</m:t>
                    </m:r>
                  </m:sub>
                </m:sSub>
                <m:r>
                  <w:rPr>
                    <w:rFonts w:ascii="Cambria Math" w:hAnsi="Cambria Math"/>
                  </w:rPr>
                  <m:t xml:space="preserve">×PIP(i);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R</m:t>
                        </m:r>
                      </m:sub>
                    </m:sSub>
                    <m:r>
                      <w:rPr>
                        <w:rFonts w:ascii="Cambria Math" w:hAnsi="Cambria Math"/>
                      </w:rPr>
                      <m:t>(i)</m:t>
                    </m:r>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t∈S</m:t>
                            </m:r>
                          </m:e>
                          <m:sub>
                            <m:r>
                              <w:rPr>
                                <w:rFonts w:ascii="Cambria Math" w:hAnsi="Cambria Math"/>
                              </w:rPr>
                              <m:t>mFRR,R</m:t>
                            </m:r>
                            <m:d>
                              <m:dPr>
                                <m:ctrlPr>
                                  <w:rPr>
                                    <w:rFonts w:ascii="Cambria Math" w:hAnsi="Cambria Math"/>
                                    <w:i/>
                                  </w:rPr>
                                </m:ctrlPr>
                              </m:dPr>
                              <m:e>
                                <m:r>
                                  <w:rPr>
                                    <w:rFonts w:ascii="Cambria Math" w:hAnsi="Cambria Math"/>
                                  </w:rPr>
                                  <m:t>i</m:t>
                                </m:r>
                              </m:e>
                            </m:d>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t∈S</m:t>
                                </m:r>
                              </m:e>
                              <m:sub>
                                <m:r>
                                  <w:rPr>
                                    <w:rFonts w:ascii="Cambria Math" w:hAnsi="Cambria Math"/>
                                  </w:rPr>
                                  <m:t>RR,R</m:t>
                                </m:r>
                                <m:d>
                                  <m:dPr>
                                    <m:ctrlPr>
                                      <w:rPr>
                                        <w:rFonts w:ascii="Cambria Math" w:hAnsi="Cambria Math"/>
                                        <w:i/>
                                      </w:rPr>
                                    </m:ctrlPr>
                                  </m:dPr>
                                  <m:e>
                                    <m:r>
                                      <w:rPr>
                                        <w:rFonts w:ascii="Cambria Math" w:hAnsi="Cambria Math"/>
                                      </w:rPr>
                                      <m:t>i</m:t>
                                    </m:r>
                                  </m:e>
                                </m:d>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e>
                        </m:nary>
                      </m:e>
                    </m:nary>
                  </m:den>
                </m:f>
              </m:oMath>
            </m:oMathPara>
          </w:p>
          <w:p w14:paraId="73B741EF" w14:textId="40DEFB74" w:rsidR="00430F2B" w:rsidRPr="009D4714" w:rsidRDefault="00430F2B" w:rsidP="00430F2B">
            <w:pPr>
              <w:tabs>
                <w:tab w:val="left" w:pos="0"/>
                <w:tab w:val="left" w:pos="426"/>
                <w:tab w:val="left" w:pos="709"/>
                <w:tab w:val="left" w:pos="851"/>
              </w:tabs>
              <w:spacing w:before="120"/>
              <w:jc w:val="both"/>
            </w:pPr>
            <w:r w:rsidRPr="009D4714">
              <w:t xml:space="preserve">                           unde: </w:t>
            </w:r>
          </w:p>
          <w:p w14:paraId="45616EE0" w14:textId="77777777" w:rsidR="00430F2B" w:rsidRPr="009D4714" w:rsidRDefault="00430F2B" w:rsidP="00430F2B">
            <w:pPr>
              <w:tabs>
                <w:tab w:val="left" w:pos="0"/>
                <w:tab w:val="left" w:pos="426"/>
                <w:tab w:val="left" w:pos="709"/>
                <w:tab w:val="left" w:pos="851"/>
              </w:tabs>
              <w:spacing w:before="120"/>
              <w:jc w:val="both"/>
            </w:pPr>
          </w:p>
          <w:p w14:paraId="4C1A12A6" w14:textId="3E71A1B9" w:rsidR="00430F2B" w:rsidRPr="009D4714" w:rsidRDefault="00430F2B" w:rsidP="00430F2B">
            <w:pPr>
              <w:pStyle w:val="a7"/>
              <w:numPr>
                <w:ilvl w:val="0"/>
                <w:numId w:val="26"/>
              </w:numPr>
              <w:tabs>
                <w:tab w:val="left" w:pos="0"/>
                <w:tab w:val="left" w:pos="426"/>
                <w:tab w:val="left" w:pos="709"/>
                <w:tab w:val="left" w:pos="851"/>
              </w:tabs>
              <w:jc w:val="both"/>
            </w:pPr>
            <w:r w:rsidRPr="009D4714">
              <w:t>„</w:t>
            </w:r>
            <w:proofErr w:type="spellStart"/>
            <w:r w:rsidRPr="009D4714">
              <w:t>f</w:t>
            </w:r>
            <w:r w:rsidRPr="009D4714">
              <w:rPr>
                <w:vertAlign w:val="subscript"/>
              </w:rPr>
              <w:t>i,def</w:t>
            </w:r>
            <w:proofErr w:type="spellEnd"/>
            <w:r w:rsidRPr="009D4714">
              <w:t xml:space="preserve">” – factor pentru dezechilibrele pozitive ale PRE/grup de echilibrare, mai mic sau egal ca 1 (unu), stabilit de Agenție, în cadrul unei Hotărâri. Factorii de dezechilibru utilizați la moment au fost aprobați în cadrul Hotărârii Consiliului de administrație al ANRE nr. 388 din 30 iunie 2023. </w:t>
            </w:r>
          </w:p>
          <w:p w14:paraId="24701342" w14:textId="02B61894" w:rsidR="00430F2B" w:rsidRPr="009D4714" w:rsidRDefault="00430F2B" w:rsidP="00430F2B">
            <w:pPr>
              <w:pStyle w:val="a7"/>
              <w:tabs>
                <w:tab w:val="left" w:pos="0"/>
                <w:tab w:val="left" w:pos="426"/>
                <w:tab w:val="left" w:pos="709"/>
                <w:tab w:val="left" w:pos="851"/>
              </w:tabs>
              <w:ind w:left="1514"/>
              <w:jc w:val="both"/>
            </w:pPr>
            <w:r w:rsidRPr="009D4714">
              <w:t xml:space="preserve"> </w:t>
            </w:r>
          </w:p>
          <w:p w14:paraId="7A9FA1AB" w14:textId="56B4E6B9" w:rsidR="00430F2B" w:rsidRPr="009D4714" w:rsidRDefault="00430F2B" w:rsidP="00430F2B">
            <w:pPr>
              <w:pStyle w:val="a7"/>
              <w:numPr>
                <w:ilvl w:val="0"/>
                <w:numId w:val="26"/>
              </w:numPr>
              <w:tabs>
                <w:tab w:val="left" w:pos="0"/>
                <w:tab w:val="left" w:pos="426"/>
                <w:tab w:val="left" w:pos="709"/>
                <w:tab w:val="left" w:pos="851"/>
              </w:tabs>
              <w:jc w:val="both"/>
            </w:pPr>
            <w:r w:rsidRPr="009D4714">
              <w:t xml:space="preserve">Prețul de închidere a pieței pentru zona națională de tranzacționare (în continuare – PIP), care reprezintă prețul la care sunt încheiate tranzacțiile pe piața zilei următoare (în continuare – PZU) într-un anumit interval de tranzacționare. De menționat aici că, în conformitate cu pct. 780 din RPEE până la lansarea PZU, OST va utiliza în procesul de decontare al dezechilibrelor PRE prețul de închidere al pieței aplicabil intervalului de dispecerizare respectiv obținut pe piața zile următoare din Ucraina.  </w:t>
            </w:r>
          </w:p>
          <w:p w14:paraId="590A0888" w14:textId="301247BB" w:rsidR="00430F2B" w:rsidRPr="009D4714" w:rsidRDefault="00430F2B" w:rsidP="00430F2B">
            <w:pPr>
              <w:pStyle w:val="a7"/>
              <w:numPr>
                <w:ilvl w:val="0"/>
                <w:numId w:val="26"/>
              </w:numPr>
              <w:tabs>
                <w:tab w:val="left" w:pos="0"/>
                <w:tab w:val="left" w:pos="426"/>
                <w:tab w:val="left" w:pos="709"/>
                <w:tab w:val="left" w:pos="851"/>
              </w:tabs>
              <w:jc w:val="both"/>
            </w:pPr>
            <w:r w:rsidRPr="009D4714">
              <w:t>Venitul pentru echilibrarea sistemului la reducere de putere („R</w:t>
            </w:r>
            <w:r w:rsidR="00DB2021" w:rsidRPr="009D4714">
              <w:rPr>
                <w:vertAlign w:val="subscript"/>
              </w:rPr>
              <w:t>R</w:t>
            </w:r>
            <w:r w:rsidRPr="009D4714">
              <w:rPr>
                <w:vertAlign w:val="subscript"/>
              </w:rPr>
              <w:t>(i)</w:t>
            </w:r>
            <w:r w:rsidRPr="009D4714">
              <w:t xml:space="preserve">”) în intervalul de dispecerizare „i” determinat conform prevederilor secțiunii 4 din Capitolul 4 al RPEE. </w:t>
            </w:r>
          </w:p>
          <w:p w14:paraId="70F61EBF" w14:textId="77777777" w:rsidR="00430F2B" w:rsidRPr="009D4714" w:rsidRDefault="005E5606" w:rsidP="00430F2B">
            <w:pPr>
              <w:pStyle w:val="a7"/>
              <w:numPr>
                <w:ilvl w:val="0"/>
                <w:numId w:val="26"/>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q</m:t>
                  </m:r>
                </m:e>
                <m:sub>
                  <m:r>
                    <w:rPr>
                      <w:rFonts w:ascii="Cambria Math" w:hAnsi="Cambria Math"/>
                    </w:rPr>
                    <m:t>livrat</m:t>
                  </m:r>
                  <m:d>
                    <m:dPr>
                      <m:ctrlPr>
                        <w:rPr>
                          <w:rFonts w:ascii="Cambria Math" w:hAnsi="Cambria Math"/>
                          <w:i/>
                        </w:rPr>
                      </m:ctrlPr>
                    </m:dPr>
                    <m:e>
                      <m:r>
                        <w:rPr>
                          <w:rFonts w:ascii="Cambria Math" w:hAnsi="Cambria Math"/>
                        </w:rPr>
                        <m:t>t,i</m:t>
                      </m:r>
                    </m:e>
                  </m:d>
                </m:sub>
              </m:sSub>
            </m:oMath>
            <w:r w:rsidR="00430F2B" w:rsidRPr="009D4714">
              <w:t xml:space="preserve"> cantitatea de energie electrică de echilibrare livrată ca urmare a tranzacției „t”, în intervalul de dispecerizare „i”</w:t>
            </w:r>
          </w:p>
          <w:p w14:paraId="2D068152" w14:textId="63E2BE7D" w:rsidR="00430F2B" w:rsidRPr="009D4714" w:rsidRDefault="005E5606" w:rsidP="00430F2B">
            <w:pPr>
              <w:pStyle w:val="a7"/>
              <w:numPr>
                <w:ilvl w:val="0"/>
                <w:numId w:val="26"/>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S</m:t>
                  </m:r>
                </m:e>
                <m:sub>
                  <m:r>
                    <w:rPr>
                      <w:rFonts w:ascii="Cambria Math" w:hAnsi="Cambria Math"/>
                    </w:rPr>
                    <m:t>mFRR,C</m:t>
                  </m:r>
                  <m:d>
                    <m:dPr>
                      <m:ctrlPr>
                        <w:rPr>
                          <w:rFonts w:ascii="Cambria Math" w:hAnsi="Cambria Math"/>
                          <w:i/>
                        </w:rPr>
                      </m:ctrlPr>
                    </m:dPr>
                    <m:e>
                      <m:r>
                        <w:rPr>
                          <w:rFonts w:ascii="Cambria Math" w:hAnsi="Cambria Math"/>
                        </w:rPr>
                        <m:t>i</m:t>
                      </m:r>
                    </m:e>
                  </m:d>
                </m:sub>
              </m:sSub>
            </m:oMath>
            <w:r w:rsidR="00430F2B" w:rsidRPr="009D4714">
              <w:t xml:space="preserve"> toate tranzacțiile pentru livrarea energiei electrice de echilibrare corespunzătoare procesului de restabilire manuală a frecvenței de reducere de putere care au fost utilizate pentru echilibrarea sistemului în intervalul de dispecerizare „i”;</w:t>
            </w:r>
          </w:p>
          <w:p w14:paraId="6D9BEB0C" w14:textId="55EFEC0A" w:rsidR="00430F2B" w:rsidRPr="009D4714" w:rsidRDefault="005E5606" w:rsidP="00430F2B">
            <w:pPr>
              <w:pStyle w:val="a7"/>
              <w:numPr>
                <w:ilvl w:val="0"/>
                <w:numId w:val="26"/>
              </w:numPr>
              <w:tabs>
                <w:tab w:val="left" w:pos="0"/>
                <w:tab w:val="left" w:pos="426"/>
                <w:tab w:val="left" w:pos="709"/>
                <w:tab w:val="left" w:pos="851"/>
              </w:tabs>
              <w:jc w:val="both"/>
            </w:pPr>
            <m:oMath>
              <m:sSub>
                <m:sSubPr>
                  <m:ctrlPr>
                    <w:rPr>
                      <w:rFonts w:ascii="Cambria Math" w:hAnsi="Cambria Math"/>
                      <w:i/>
                    </w:rPr>
                  </m:ctrlPr>
                </m:sSubPr>
                <m:e>
                  <m:r>
                    <w:rPr>
                      <w:rFonts w:ascii="Cambria Math" w:hAnsi="Cambria Math"/>
                    </w:rPr>
                    <m:t>S</m:t>
                  </m:r>
                </m:e>
                <m:sub>
                  <m:r>
                    <w:rPr>
                      <w:rFonts w:ascii="Cambria Math" w:hAnsi="Cambria Math"/>
                    </w:rPr>
                    <m:t>RR,C</m:t>
                  </m:r>
                  <m:d>
                    <m:dPr>
                      <m:ctrlPr>
                        <w:rPr>
                          <w:rFonts w:ascii="Cambria Math" w:hAnsi="Cambria Math"/>
                          <w:i/>
                        </w:rPr>
                      </m:ctrlPr>
                    </m:dPr>
                    <m:e>
                      <m:r>
                        <w:rPr>
                          <w:rFonts w:ascii="Cambria Math" w:hAnsi="Cambria Math"/>
                        </w:rPr>
                        <m:t>i</m:t>
                      </m:r>
                    </m:e>
                  </m:d>
                </m:sub>
              </m:sSub>
            </m:oMath>
            <w:r w:rsidR="00430F2B" w:rsidRPr="009D4714">
              <w:t xml:space="preserve"> toate tranzacțiile pentru livrarea energiei electrice de echilibrare corespunzătoare procesului de înlocuirea a rezervelor de reducere de putere care au fost utilizate pentru echilibrarea sistemului în intervalul de dispecerizare „i”;</w:t>
            </w:r>
          </w:p>
          <w:p w14:paraId="0BE66878" w14:textId="30257296" w:rsidR="00641B09" w:rsidRPr="009D4714" w:rsidRDefault="005815C0" w:rsidP="00B50D8F">
            <w:pPr>
              <w:pStyle w:val="a7"/>
              <w:tabs>
                <w:tab w:val="left" w:pos="0"/>
                <w:tab w:val="left" w:pos="426"/>
                <w:tab w:val="left" w:pos="709"/>
                <w:tab w:val="left" w:pos="851"/>
              </w:tabs>
              <w:spacing w:before="120"/>
              <w:ind w:left="731"/>
              <w:contextualSpacing w:val="0"/>
              <w:jc w:val="both"/>
            </w:pPr>
            <w:r w:rsidRPr="009D4714">
              <w:t>A</w:t>
            </w:r>
            <w:r w:rsidR="00641B09" w:rsidRPr="009D4714">
              <w:t xml:space="preserve">șadar, </w:t>
            </w:r>
            <w:r w:rsidR="00883400" w:rsidRPr="009D4714">
              <w:t>ținând cont de faptul că</w:t>
            </w:r>
            <w:r w:rsidR="00641B09" w:rsidRPr="009D4714">
              <w:t xml:space="preserve">: </w:t>
            </w:r>
          </w:p>
          <w:p w14:paraId="0CDDC5D1" w14:textId="17AC2864" w:rsidR="00641B09" w:rsidRPr="009D4714" w:rsidRDefault="005815C0" w:rsidP="00641B09">
            <w:pPr>
              <w:pStyle w:val="a7"/>
              <w:numPr>
                <w:ilvl w:val="0"/>
                <w:numId w:val="28"/>
              </w:numPr>
              <w:tabs>
                <w:tab w:val="left" w:pos="0"/>
                <w:tab w:val="left" w:pos="426"/>
                <w:tab w:val="left" w:pos="709"/>
                <w:tab w:val="left" w:pos="851"/>
              </w:tabs>
              <w:spacing w:before="120"/>
              <w:jc w:val="both"/>
            </w:pPr>
            <w:r w:rsidRPr="009D4714">
              <w:t>modalitatea de determinare a prețului pentru dezechilibrele participanților pi</w:t>
            </w:r>
            <w:r w:rsidR="00CD601D">
              <w:t>e</w:t>
            </w:r>
            <w:r w:rsidRPr="009D4714">
              <w:t>ț</w:t>
            </w:r>
            <w:r w:rsidR="00CD601D">
              <w:t>ei energiei electrice</w:t>
            </w:r>
            <w:r w:rsidR="00641B09" w:rsidRPr="009D4714">
              <w:t xml:space="preserve"> descr</w:t>
            </w:r>
            <w:r w:rsidR="00A54C66">
              <w:t xml:space="preserve">isă anterior, prevede </w:t>
            </w:r>
            <w:r w:rsidR="00641B09" w:rsidRPr="009D4714">
              <w:t>aplicarea valorii maxime obținute pentru</w:t>
            </w:r>
            <w:r w:rsidR="00883400" w:rsidRPr="009D4714">
              <w:t xml:space="preserve"> prețul pentru</w:t>
            </w:r>
            <w:r w:rsidR="00641B09" w:rsidRPr="009D4714">
              <w:t xml:space="preserve"> deficit</w:t>
            </w:r>
            <w:r w:rsidR="00883400" w:rsidRPr="009D4714">
              <w:t xml:space="preserve"> de energie</w:t>
            </w:r>
            <w:r w:rsidR="00641B09" w:rsidRPr="009D4714">
              <w:t xml:space="preserve"> </w:t>
            </w:r>
            <w:r w:rsidR="00CD601D">
              <w:t>electrică de ec</w:t>
            </w:r>
            <w:r w:rsidR="00C56E83">
              <w:t>h</w:t>
            </w:r>
            <w:r w:rsidR="00CD601D">
              <w:t xml:space="preserve">ilibrare </w:t>
            </w:r>
            <w:r w:rsidR="00641B09" w:rsidRPr="009D4714">
              <w:t>și minime pentru excedent</w:t>
            </w:r>
            <w:r w:rsidR="00883400" w:rsidRPr="009D4714">
              <w:t xml:space="preserve"> de energie</w:t>
            </w:r>
            <w:r w:rsidR="00CD601D">
              <w:t xml:space="preserve"> electrică de echilibrare</w:t>
            </w:r>
            <w:r w:rsidR="00641B09" w:rsidRPr="009D4714">
              <w:t>;</w:t>
            </w:r>
          </w:p>
          <w:p w14:paraId="76244E35" w14:textId="08F821B4" w:rsidR="00E00705" w:rsidRPr="009D4714" w:rsidRDefault="00E00705" w:rsidP="00641B09">
            <w:pPr>
              <w:pStyle w:val="a7"/>
              <w:numPr>
                <w:ilvl w:val="0"/>
                <w:numId w:val="28"/>
              </w:numPr>
              <w:tabs>
                <w:tab w:val="left" w:pos="0"/>
                <w:tab w:val="left" w:pos="426"/>
                <w:tab w:val="left" w:pos="709"/>
                <w:tab w:val="left" w:pos="851"/>
              </w:tabs>
              <w:spacing w:before="120"/>
              <w:jc w:val="both"/>
            </w:pPr>
            <w:r w:rsidRPr="009D4714">
              <w:t>modalitatea de determinare a prețului pentru dezechilibre aplicat PRE-urilor face referință la prețul PZU din Ucraina, care în contextul conflictului armat început în februarie 2022 nu neapărat reflectă principiile de formare liberă a prețurilor, f</w:t>
            </w:r>
            <w:r w:rsidR="001E032A" w:rsidRPr="009D4714">
              <w:t>iind introduse diverse plafoane pe piața zilei următoare, precum și pe piața de echilibrare;</w:t>
            </w:r>
            <w:r w:rsidRPr="009D4714">
              <w:t xml:space="preserve"> </w:t>
            </w:r>
          </w:p>
          <w:p w14:paraId="616002E1" w14:textId="252B13B8" w:rsidR="00430F2B" w:rsidRPr="009D4714" w:rsidRDefault="005815C0" w:rsidP="00641B09">
            <w:pPr>
              <w:pStyle w:val="a7"/>
              <w:numPr>
                <w:ilvl w:val="0"/>
                <w:numId w:val="28"/>
              </w:numPr>
              <w:tabs>
                <w:tab w:val="left" w:pos="0"/>
                <w:tab w:val="left" w:pos="426"/>
                <w:tab w:val="left" w:pos="709"/>
                <w:tab w:val="left" w:pos="851"/>
              </w:tabs>
              <w:spacing w:before="120"/>
              <w:jc w:val="both"/>
            </w:pPr>
            <w:r w:rsidRPr="009D4714">
              <w:t>până la momentul de față în Republica Moldova nu există piaț</w:t>
            </w:r>
            <w:r w:rsidR="00CD601D">
              <w:t xml:space="preserve">a energiei electrice </w:t>
            </w:r>
            <w:r w:rsidRPr="009D4714">
              <w:t xml:space="preserve"> de echilibrare iar sistemul electroenergetic este echilibrat prin intermediul conexiunilor cu sistemul Pan European (ENTSO-E), prin aplicarea mecanismului </w:t>
            </w:r>
            <w:r w:rsidRPr="009D4714">
              <w:lastRenderedPageBreak/>
              <w:t xml:space="preserve">de </w:t>
            </w:r>
            <w:r w:rsidR="00641B09" w:rsidRPr="009D4714">
              <w:t>decontare financiară a schimburilor neintenționate de energie electrică (</w:t>
            </w:r>
            <w:proofErr w:type="spellStart"/>
            <w:r w:rsidR="00641B09" w:rsidRPr="009D4714">
              <w:t>eng</w:t>
            </w:r>
            <w:proofErr w:type="spellEnd"/>
            <w:r w:rsidR="00641B09" w:rsidRPr="009D4714">
              <w:t>. „</w:t>
            </w:r>
            <w:proofErr w:type="spellStart"/>
            <w:r w:rsidR="00641B09" w:rsidRPr="009D4714">
              <w:t>FSKar</w:t>
            </w:r>
            <w:proofErr w:type="spellEnd"/>
            <w:r w:rsidR="00641B09" w:rsidRPr="009D4714">
              <w:t>” – „Fi</w:t>
            </w:r>
            <w:r w:rsidR="00CC4B2F" w:rsidRPr="009D4714">
              <w:t>n</w:t>
            </w:r>
            <w:r w:rsidR="00641B09" w:rsidRPr="009D4714">
              <w:t xml:space="preserve">ancial </w:t>
            </w:r>
            <w:proofErr w:type="spellStart"/>
            <w:r w:rsidR="00641B09" w:rsidRPr="009D4714">
              <w:t>settlement</w:t>
            </w:r>
            <w:proofErr w:type="spellEnd"/>
            <w:r w:rsidR="00641B09" w:rsidRPr="009D4714">
              <w:t xml:space="preserve"> of </w:t>
            </w:r>
            <w:proofErr w:type="spellStart"/>
            <w:r w:rsidR="00641B09" w:rsidRPr="009D4714">
              <w:t>unintended</w:t>
            </w:r>
            <w:proofErr w:type="spellEnd"/>
            <w:r w:rsidR="00641B09" w:rsidRPr="009D4714">
              <w:t xml:space="preserve"> </w:t>
            </w:r>
            <w:proofErr w:type="spellStart"/>
            <w:r w:rsidR="00641B09" w:rsidRPr="009D4714">
              <w:t>exchage</w:t>
            </w:r>
            <w:proofErr w:type="spellEnd"/>
            <w:r w:rsidR="00641B09" w:rsidRPr="009D4714">
              <w:t>”);</w:t>
            </w:r>
          </w:p>
          <w:p w14:paraId="4EEC148B" w14:textId="3A02EB2E" w:rsidR="00641B09" w:rsidRPr="009D4714" w:rsidRDefault="00883400" w:rsidP="00641B09">
            <w:pPr>
              <w:pStyle w:val="a7"/>
              <w:numPr>
                <w:ilvl w:val="0"/>
                <w:numId w:val="28"/>
              </w:numPr>
              <w:tabs>
                <w:tab w:val="left" w:pos="0"/>
                <w:tab w:val="left" w:pos="426"/>
                <w:tab w:val="left" w:pos="709"/>
                <w:tab w:val="left" w:pos="851"/>
              </w:tabs>
              <w:spacing w:before="120"/>
              <w:jc w:val="both"/>
            </w:pPr>
            <w:r w:rsidRPr="009D4714">
              <w:t>p</w:t>
            </w:r>
            <w:r w:rsidR="00641B09" w:rsidRPr="009D4714">
              <w:t xml:space="preserve">rețul obținut pentru energia electrică de dezechilibru în deficit a fost considerabil mai mare decât prețul energiei tranzacționate în baza contractelor bilaterale, considerând că acesta are la bază </w:t>
            </w:r>
            <w:r w:rsidRPr="009D4714">
              <w:t>prețul de închidere a PZU în spațiul ENTSO-E</w:t>
            </w:r>
            <w:r w:rsidR="00641B09" w:rsidRPr="009D4714">
              <w:t>;</w:t>
            </w:r>
          </w:p>
          <w:p w14:paraId="7B1FE48A" w14:textId="416E97A9" w:rsidR="00883400" w:rsidRPr="009D4714" w:rsidRDefault="00883400" w:rsidP="00641B09">
            <w:pPr>
              <w:pStyle w:val="a7"/>
              <w:numPr>
                <w:ilvl w:val="0"/>
                <w:numId w:val="28"/>
              </w:numPr>
              <w:tabs>
                <w:tab w:val="left" w:pos="0"/>
                <w:tab w:val="left" w:pos="426"/>
                <w:tab w:val="left" w:pos="709"/>
                <w:tab w:val="left" w:pos="851"/>
              </w:tabs>
              <w:spacing w:before="120"/>
              <w:jc w:val="both"/>
            </w:pPr>
            <w:r w:rsidRPr="009D4714">
              <w:t>p</w:t>
            </w:r>
            <w:r w:rsidR="00641B09" w:rsidRPr="009D4714">
              <w:t xml:space="preserve">rețul obținut pentru energia electrică de dezechilibru în excedent a fost considerabil mai mic decât prețul pentru energia electrică tranzacționată în baza contractelor bilaterale; </w:t>
            </w:r>
          </w:p>
          <w:p w14:paraId="4ABD17D1" w14:textId="60C069A5" w:rsidR="00776DA1" w:rsidRPr="009D4714" w:rsidRDefault="00776DA1" w:rsidP="00641B09">
            <w:pPr>
              <w:pStyle w:val="a7"/>
              <w:numPr>
                <w:ilvl w:val="0"/>
                <w:numId w:val="28"/>
              </w:numPr>
              <w:tabs>
                <w:tab w:val="left" w:pos="0"/>
                <w:tab w:val="left" w:pos="426"/>
                <w:tab w:val="left" w:pos="709"/>
                <w:tab w:val="left" w:pos="851"/>
              </w:tabs>
              <w:spacing w:before="120"/>
              <w:jc w:val="both"/>
            </w:pPr>
            <w:r w:rsidRPr="009D4714">
              <w:t xml:space="preserve">venitul obținut de OST în legătură cu decontarea dezechilibrelor negative ale PRE-urilor, care reprezintă rezultatul multiplicării acestora la prețul pentru dezechilibrul în deficit, </w:t>
            </w:r>
            <w:r w:rsidR="007E474E" w:rsidRPr="009D4714">
              <w:t xml:space="preserve">care </w:t>
            </w:r>
            <w:r w:rsidRPr="009D4714">
              <w:t>deseori era consid</w:t>
            </w:r>
            <w:r w:rsidR="005A7EBD" w:rsidRPr="009D4714">
              <w:t>erabil mai mare decât costurile lunare</w:t>
            </w:r>
            <w:r w:rsidRPr="009D4714">
              <w:t xml:space="preserve"> efective suportate de OST pentru energia electrică de ech</w:t>
            </w:r>
            <w:r w:rsidR="005A7EBD" w:rsidRPr="009D4714">
              <w:t>ilibrare la creștere de putere, astfel fiind colectare surse financiare excedentare care urmau a fi distribuite participanților la piața de energie electrică care a</w:t>
            </w:r>
            <w:r w:rsidR="007E474E" w:rsidRPr="009D4714">
              <w:t>u</w:t>
            </w:r>
            <w:r w:rsidR="005A7EBD" w:rsidRPr="009D4714">
              <w:t xml:space="preserve"> consumat</w:t>
            </w:r>
            <w:r w:rsidR="0022073A">
              <w:t>ori finali de energie electrică</w:t>
            </w:r>
            <w:r w:rsidR="00CD601D">
              <w:t>.</w:t>
            </w:r>
          </w:p>
          <w:p w14:paraId="327F7C9C" w14:textId="77777777" w:rsidR="00883400" w:rsidRPr="009D4714" w:rsidRDefault="00883400" w:rsidP="00883400">
            <w:pPr>
              <w:pStyle w:val="a7"/>
              <w:tabs>
                <w:tab w:val="left" w:pos="0"/>
                <w:tab w:val="left" w:pos="426"/>
                <w:tab w:val="left" w:pos="709"/>
                <w:tab w:val="left" w:pos="851"/>
              </w:tabs>
              <w:spacing w:before="120"/>
              <w:ind w:left="1451"/>
              <w:jc w:val="both"/>
            </w:pPr>
          </w:p>
          <w:p w14:paraId="5E70F39C" w14:textId="6FFA0594" w:rsidR="00905F1E" w:rsidRDefault="00965CE3" w:rsidP="00905F1E">
            <w:pPr>
              <w:pStyle w:val="a7"/>
              <w:tabs>
                <w:tab w:val="left" w:pos="0"/>
                <w:tab w:val="left" w:pos="426"/>
                <w:tab w:val="left" w:pos="878"/>
              </w:tabs>
              <w:spacing w:before="120"/>
              <w:ind w:left="875"/>
              <w:jc w:val="both"/>
            </w:pPr>
            <w:r>
              <w:t>Astfel, s</w:t>
            </w:r>
            <w:r w:rsidR="00883400" w:rsidRPr="009D4714">
              <w:t>-a creat o situați</w:t>
            </w:r>
            <w:r w:rsidR="00CD2873">
              <w:t>e</w:t>
            </w:r>
            <w:r w:rsidR="00883400" w:rsidRPr="009D4714">
              <w:t xml:space="preserve"> dificilă pentru participanții pi</w:t>
            </w:r>
            <w:r w:rsidR="00CD2873">
              <w:t>e</w:t>
            </w:r>
            <w:r w:rsidR="00883400" w:rsidRPr="009D4714">
              <w:t>ț</w:t>
            </w:r>
            <w:r w:rsidR="00CD2873">
              <w:t>ei energiei electrice</w:t>
            </w:r>
            <w:r w:rsidR="005A7EBD" w:rsidRPr="009D4714">
              <w:t>,</w:t>
            </w:r>
            <w:r w:rsidR="00883400" w:rsidRPr="009D4714">
              <w:t xml:space="preserve"> care pentru</w:t>
            </w:r>
            <w:r w:rsidR="001E032A" w:rsidRPr="009D4714">
              <w:t xml:space="preserve"> dezechilibrele în deficit urmează</w:t>
            </w:r>
            <w:r w:rsidR="00883400" w:rsidRPr="009D4714">
              <w:t xml:space="preserve"> să achite sume financiare considerabile, iar pentru energi</w:t>
            </w:r>
            <w:r w:rsidR="00776DA1" w:rsidRPr="009D4714">
              <w:t>a</w:t>
            </w:r>
            <w:r w:rsidR="00883400" w:rsidRPr="009D4714">
              <w:t xml:space="preserve"> electrică generată </w:t>
            </w:r>
            <w:r w:rsidR="001E032A" w:rsidRPr="009D4714">
              <w:t>în excedent urmează</w:t>
            </w:r>
            <w:r w:rsidR="00883400" w:rsidRPr="009D4714">
              <w:t xml:space="preserve"> să fie remunerați considerabil mai puțin, chiar și în comparație cu prețul </w:t>
            </w:r>
            <w:r w:rsidR="001E032A" w:rsidRPr="009D4714">
              <w:t>aferent</w:t>
            </w:r>
            <w:r w:rsidR="00883400" w:rsidRPr="009D4714">
              <w:t xml:space="preserve"> contractelor bilaterale</w:t>
            </w:r>
            <w:r w:rsidR="0022073A">
              <w:t xml:space="preserve"> existente la moment în cadrul pieței naționale</w:t>
            </w:r>
            <w:r w:rsidR="00883400" w:rsidRPr="009D4714">
              <w:t xml:space="preserve">. </w:t>
            </w:r>
          </w:p>
          <w:p w14:paraId="402F8641" w14:textId="5CA5E7F1" w:rsidR="00A54C66" w:rsidRDefault="00883400" w:rsidP="00905F1E">
            <w:pPr>
              <w:pStyle w:val="a7"/>
              <w:tabs>
                <w:tab w:val="left" w:pos="0"/>
                <w:tab w:val="left" w:pos="426"/>
                <w:tab w:val="left" w:pos="878"/>
              </w:tabs>
              <w:spacing w:before="120"/>
              <w:ind w:left="875"/>
              <w:jc w:val="both"/>
            </w:pPr>
            <w:r w:rsidRPr="009D4714">
              <w:t xml:space="preserve">Acest fapt a dus la îngreunarea considerabilă a situației </w:t>
            </w:r>
            <w:proofErr w:type="spellStart"/>
            <w:r w:rsidRPr="009D4714">
              <w:t>economico</w:t>
            </w:r>
            <w:proofErr w:type="spellEnd"/>
            <w:r w:rsidRPr="009D4714">
              <w:t>-financiare a acestora, punând în pericol viabilitatea financiară a pro</w:t>
            </w:r>
            <w:r w:rsidR="008010CD">
              <w:t>ducătorilor care produc energie electrică din surse regenerabile</w:t>
            </w:r>
            <w:r w:rsidR="00776DA1" w:rsidRPr="009D4714">
              <w:t xml:space="preserve"> ce se caracterizează printr-un grad de predictibilitate și posibilitate de dispecerizare redus</w:t>
            </w:r>
            <w:r w:rsidR="0022073A">
              <w:t>, altfel spus posedă un caracter intermitent</w:t>
            </w:r>
            <w:r w:rsidR="00776DA1" w:rsidRPr="009D4714">
              <w:t xml:space="preserve"> (surse de generare eoliene și fotovoltaice). </w:t>
            </w:r>
          </w:p>
          <w:p w14:paraId="150D9BB4" w14:textId="58323D76" w:rsidR="00641B09" w:rsidRPr="009D4714" w:rsidRDefault="000E3C3E" w:rsidP="00905F1E">
            <w:pPr>
              <w:pStyle w:val="a7"/>
              <w:tabs>
                <w:tab w:val="left" w:pos="0"/>
                <w:tab w:val="left" w:pos="426"/>
                <w:tab w:val="left" w:pos="878"/>
              </w:tabs>
              <w:spacing w:before="120"/>
              <w:ind w:left="875"/>
              <w:jc w:val="both"/>
            </w:pPr>
            <w:r w:rsidRPr="009D4714">
              <w:t>De menționat că rezultate respective ale decontării dezechilibrelor către participanții pi</w:t>
            </w:r>
            <w:r w:rsidR="008010CD">
              <w:t>e</w:t>
            </w:r>
            <w:r w:rsidRPr="009D4714">
              <w:t>ț</w:t>
            </w:r>
            <w:r w:rsidR="008010CD">
              <w:t>ei</w:t>
            </w:r>
            <w:r w:rsidRPr="009D4714">
              <w:t xml:space="preserve"> energie</w:t>
            </w:r>
            <w:r w:rsidR="008010CD">
              <w:t>i</w:t>
            </w:r>
            <w:r w:rsidRPr="009D4714">
              <w:t xml:space="preserve"> electric</w:t>
            </w:r>
            <w:r w:rsidR="008010CD">
              <w:t>e</w:t>
            </w:r>
            <w:r w:rsidRPr="009D4714">
              <w:t xml:space="preserve"> au fost concomitent cauzate și de gradul de pregătire și maturitate redus al participanților pi</w:t>
            </w:r>
            <w:r w:rsidR="008010CD">
              <w:t>e</w:t>
            </w:r>
            <w:r w:rsidRPr="009D4714">
              <w:t>ț</w:t>
            </w:r>
            <w:r w:rsidR="008010CD">
              <w:t>ei energiei electrice</w:t>
            </w:r>
            <w:r w:rsidRPr="009D4714">
              <w:t xml:space="preserve"> în legătură cu procesul de prognozare în principal a</w:t>
            </w:r>
            <w:r w:rsidR="0022073A">
              <w:t>l</w:t>
            </w:r>
            <w:r w:rsidRPr="009D4714">
              <w:t xml:space="preserve"> producerii de energie electrică din surse regenerabile de energie (instalații eoliene și fotovoltaice).   </w:t>
            </w:r>
          </w:p>
          <w:p w14:paraId="5189F8D8" w14:textId="3FF70898" w:rsidR="00CC4B2F" w:rsidRPr="009D4714" w:rsidRDefault="00CC4B2F" w:rsidP="00883400">
            <w:pPr>
              <w:pStyle w:val="a7"/>
              <w:tabs>
                <w:tab w:val="left" w:pos="0"/>
                <w:tab w:val="left" w:pos="426"/>
                <w:tab w:val="left" w:pos="709"/>
                <w:tab w:val="left" w:pos="851"/>
              </w:tabs>
              <w:spacing w:before="120"/>
              <w:ind w:left="875"/>
              <w:jc w:val="both"/>
            </w:pPr>
          </w:p>
          <w:p w14:paraId="4E43C234" w14:textId="77777777" w:rsidR="001244E4" w:rsidRPr="009D4714" w:rsidRDefault="00CC4B2F" w:rsidP="00883400">
            <w:pPr>
              <w:pStyle w:val="a7"/>
              <w:tabs>
                <w:tab w:val="left" w:pos="0"/>
                <w:tab w:val="left" w:pos="426"/>
                <w:tab w:val="left" w:pos="709"/>
                <w:tab w:val="left" w:pos="851"/>
              </w:tabs>
              <w:spacing w:before="120"/>
              <w:ind w:left="875"/>
              <w:jc w:val="both"/>
            </w:pPr>
            <w:r w:rsidRPr="009D4714">
              <w:t>În tabelul 1 sunt prezentate datele</w:t>
            </w:r>
            <w:r w:rsidR="006A19E0" w:rsidRPr="009D4714">
              <w:t xml:space="preserve"> privind rezultatele financiare ale OST</w:t>
            </w:r>
            <w:r w:rsidRPr="009D4714">
              <w:t xml:space="preserve"> pentru lunile iunie – decembrie 2022, care reflectă situația descrisă, și din care rezultă că </w:t>
            </w:r>
            <w:r w:rsidR="008B63FA" w:rsidRPr="009D4714">
              <w:t>pentru 6 luni din anul 2022 OST acumulează</w:t>
            </w:r>
            <w:r w:rsidR="001244E4" w:rsidRPr="009D4714">
              <w:t xml:space="preserve"> venituri suplimentare în mediu de 88,5 mil. lei, și doar pentru o lună (noiembrie 2022)</w:t>
            </w:r>
            <w:r w:rsidR="008B63FA" w:rsidRPr="009D4714">
              <w:t xml:space="preserve"> </w:t>
            </w:r>
            <w:r w:rsidR="001244E4" w:rsidRPr="009D4714">
              <w:t>OST înregistrează costuri suplimentare de cca 126 mil. lei.</w:t>
            </w:r>
          </w:p>
          <w:p w14:paraId="03118C49" w14:textId="65401022" w:rsidR="00CC4B2F" w:rsidRPr="009D4714" w:rsidRDefault="001244E4" w:rsidP="005D7E57">
            <w:pPr>
              <w:pStyle w:val="a7"/>
              <w:tabs>
                <w:tab w:val="left" w:pos="0"/>
                <w:tab w:val="left" w:pos="426"/>
                <w:tab w:val="left" w:pos="709"/>
                <w:tab w:val="left" w:pos="851"/>
              </w:tabs>
              <w:spacing w:after="120"/>
              <w:ind w:left="873"/>
              <w:contextualSpacing w:val="0"/>
              <w:jc w:val="both"/>
            </w:pPr>
            <w:r w:rsidRPr="009D4714">
              <w:t xml:space="preserve"> </w:t>
            </w:r>
            <w:r w:rsidR="00D21803" w:rsidRPr="005D7E57">
              <w:rPr>
                <w:b/>
              </w:rPr>
              <w:t>Tabelul 1.</w:t>
            </w:r>
            <w:r w:rsidR="00D21803" w:rsidRPr="009D4714">
              <w:t xml:space="preserve"> Rezultatele financiare aferente aplicării mecanismului de decontare a dezechilibrelor în condițiile actuale ale RPEE</w:t>
            </w:r>
          </w:p>
          <w:tbl>
            <w:tblPr>
              <w:tblW w:w="9214" w:type="dxa"/>
              <w:tblInd w:w="154" w:type="dxa"/>
              <w:tblLayout w:type="fixed"/>
              <w:tblLook w:val="04A0" w:firstRow="1" w:lastRow="0" w:firstColumn="1" w:lastColumn="0" w:noHBand="0" w:noVBand="1"/>
            </w:tblPr>
            <w:tblGrid>
              <w:gridCol w:w="2146"/>
              <w:gridCol w:w="1115"/>
              <w:gridCol w:w="992"/>
              <w:gridCol w:w="992"/>
              <w:gridCol w:w="1134"/>
              <w:gridCol w:w="992"/>
              <w:gridCol w:w="1134"/>
              <w:gridCol w:w="709"/>
            </w:tblGrid>
            <w:tr w:rsidR="00D21803" w:rsidRPr="009D4714" w14:paraId="41E66F9F" w14:textId="77777777" w:rsidTr="00D21803">
              <w:trPr>
                <w:trHeight w:val="300"/>
              </w:trPr>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5C7D" w14:textId="77777777" w:rsidR="001244E4" w:rsidRPr="009D4714" w:rsidRDefault="001244E4" w:rsidP="001244E4">
                  <w:pPr>
                    <w:jc w:val="center"/>
                    <w:rPr>
                      <w:b/>
                      <w:bCs/>
                      <w:color w:val="000000"/>
                      <w:sz w:val="16"/>
                      <w:szCs w:val="16"/>
                    </w:rPr>
                  </w:pPr>
                  <w:r w:rsidRPr="009D4714">
                    <w:rPr>
                      <w:b/>
                      <w:bCs/>
                      <w:color w:val="000000"/>
                      <w:sz w:val="16"/>
                      <w:szCs w:val="16"/>
                    </w:rPr>
                    <w:t>Indicator</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6222F93B" w14:textId="77777777" w:rsidR="001244E4" w:rsidRPr="009D4714" w:rsidRDefault="001244E4" w:rsidP="001244E4">
                  <w:pPr>
                    <w:jc w:val="center"/>
                    <w:rPr>
                      <w:b/>
                      <w:bCs/>
                      <w:color w:val="000000"/>
                      <w:sz w:val="16"/>
                      <w:szCs w:val="16"/>
                    </w:rPr>
                  </w:pPr>
                  <w:r w:rsidRPr="009D4714">
                    <w:rPr>
                      <w:b/>
                      <w:bCs/>
                      <w:color w:val="000000"/>
                      <w:sz w:val="16"/>
                      <w:szCs w:val="16"/>
                    </w:rPr>
                    <w:t>Iunie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C033C2" w14:textId="77777777" w:rsidR="001244E4" w:rsidRPr="009D4714" w:rsidRDefault="001244E4" w:rsidP="001244E4">
                  <w:pPr>
                    <w:jc w:val="center"/>
                    <w:rPr>
                      <w:b/>
                      <w:bCs/>
                      <w:color w:val="000000"/>
                      <w:sz w:val="16"/>
                      <w:szCs w:val="16"/>
                    </w:rPr>
                  </w:pPr>
                  <w:r w:rsidRPr="009D4714">
                    <w:rPr>
                      <w:b/>
                      <w:bCs/>
                      <w:color w:val="000000"/>
                      <w:sz w:val="16"/>
                      <w:szCs w:val="16"/>
                    </w:rPr>
                    <w:t>Iulie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8E85D2" w14:textId="77777777" w:rsidR="001244E4" w:rsidRPr="009D4714" w:rsidRDefault="001244E4" w:rsidP="001244E4">
                  <w:pPr>
                    <w:jc w:val="center"/>
                    <w:rPr>
                      <w:b/>
                      <w:bCs/>
                      <w:color w:val="000000"/>
                      <w:sz w:val="16"/>
                      <w:szCs w:val="16"/>
                    </w:rPr>
                  </w:pPr>
                  <w:r w:rsidRPr="009D4714">
                    <w:rPr>
                      <w:b/>
                      <w:bCs/>
                      <w:color w:val="000000"/>
                      <w:sz w:val="16"/>
                      <w:szCs w:val="16"/>
                    </w:rPr>
                    <w:t>August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B0BC4E" w14:textId="77777777" w:rsidR="001244E4" w:rsidRPr="009D4714" w:rsidRDefault="001244E4" w:rsidP="001244E4">
                  <w:pPr>
                    <w:jc w:val="center"/>
                    <w:rPr>
                      <w:b/>
                      <w:bCs/>
                      <w:color w:val="000000"/>
                      <w:sz w:val="16"/>
                      <w:szCs w:val="16"/>
                    </w:rPr>
                  </w:pPr>
                  <w:r w:rsidRPr="009D4714">
                    <w:rPr>
                      <w:b/>
                      <w:bCs/>
                      <w:color w:val="000000"/>
                      <w:sz w:val="16"/>
                      <w:szCs w:val="16"/>
                    </w:rPr>
                    <w:t>Septembrie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34CF35" w14:textId="77777777" w:rsidR="001244E4" w:rsidRPr="009D4714" w:rsidRDefault="001244E4" w:rsidP="001244E4">
                  <w:pPr>
                    <w:jc w:val="center"/>
                    <w:rPr>
                      <w:b/>
                      <w:bCs/>
                      <w:color w:val="000000"/>
                      <w:sz w:val="16"/>
                      <w:szCs w:val="16"/>
                    </w:rPr>
                  </w:pPr>
                  <w:r w:rsidRPr="009D4714">
                    <w:rPr>
                      <w:b/>
                      <w:bCs/>
                      <w:color w:val="000000"/>
                      <w:sz w:val="16"/>
                      <w:szCs w:val="16"/>
                    </w:rPr>
                    <w:t xml:space="preserve">Octombrie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FDFA0D" w14:textId="77777777" w:rsidR="001244E4" w:rsidRPr="009D4714" w:rsidRDefault="001244E4" w:rsidP="001244E4">
                  <w:pPr>
                    <w:jc w:val="center"/>
                    <w:rPr>
                      <w:b/>
                      <w:bCs/>
                      <w:color w:val="000000"/>
                      <w:sz w:val="16"/>
                      <w:szCs w:val="16"/>
                    </w:rPr>
                  </w:pPr>
                  <w:r w:rsidRPr="009D4714">
                    <w:rPr>
                      <w:b/>
                      <w:bCs/>
                      <w:color w:val="000000"/>
                      <w:sz w:val="16"/>
                      <w:szCs w:val="16"/>
                    </w:rPr>
                    <w:t>Noiembrie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6E775F" w14:textId="77777777" w:rsidR="001244E4" w:rsidRPr="009D4714" w:rsidRDefault="001244E4" w:rsidP="001244E4">
                  <w:pPr>
                    <w:jc w:val="center"/>
                    <w:rPr>
                      <w:b/>
                      <w:bCs/>
                      <w:color w:val="000000"/>
                      <w:sz w:val="16"/>
                      <w:szCs w:val="16"/>
                    </w:rPr>
                  </w:pPr>
                  <w:r w:rsidRPr="009D4714">
                    <w:rPr>
                      <w:b/>
                      <w:bCs/>
                      <w:color w:val="000000"/>
                      <w:sz w:val="16"/>
                      <w:szCs w:val="16"/>
                    </w:rPr>
                    <w:t>Decembrie</w:t>
                  </w:r>
                </w:p>
              </w:tc>
            </w:tr>
            <w:tr w:rsidR="00D21803" w:rsidRPr="009D4714" w14:paraId="3407E744" w14:textId="77777777" w:rsidTr="00D21803">
              <w:trPr>
                <w:trHeight w:val="30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40550732" w14:textId="77777777" w:rsidR="001244E4" w:rsidRPr="009D4714" w:rsidRDefault="001244E4" w:rsidP="001244E4">
                  <w:pPr>
                    <w:rPr>
                      <w:color w:val="000000"/>
                      <w:sz w:val="16"/>
                      <w:szCs w:val="16"/>
                    </w:rPr>
                  </w:pPr>
                  <w:r w:rsidRPr="009D4714">
                    <w:rPr>
                      <w:color w:val="000000"/>
                      <w:sz w:val="16"/>
                      <w:szCs w:val="16"/>
                    </w:rPr>
                    <w:t>Venit OST de la reducerea de putere (</w:t>
                  </w:r>
                  <w:proofErr w:type="spellStart"/>
                  <w:r w:rsidRPr="009D4714">
                    <w:rPr>
                      <w:color w:val="000000"/>
                      <w:sz w:val="16"/>
                      <w:szCs w:val="16"/>
                    </w:rPr>
                    <w:t>Rr</w:t>
                  </w:r>
                  <w:proofErr w:type="spellEnd"/>
                  <w:r w:rsidRPr="009D4714">
                    <w:rPr>
                      <w:color w:val="000000"/>
                      <w:sz w:val="16"/>
                      <w:szCs w:val="16"/>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14:paraId="1901DA3D" w14:textId="77777777" w:rsidR="001244E4" w:rsidRPr="009D4714" w:rsidRDefault="001244E4" w:rsidP="001244E4">
                  <w:pPr>
                    <w:jc w:val="center"/>
                    <w:rPr>
                      <w:color w:val="000000"/>
                      <w:sz w:val="16"/>
                      <w:szCs w:val="16"/>
                    </w:rPr>
                  </w:pPr>
                  <w:r w:rsidRPr="009D4714">
                    <w:rPr>
                      <w:color w:val="000000"/>
                      <w:sz w:val="16"/>
                      <w:szCs w:val="16"/>
                    </w:rPr>
                    <w:t>19,859,308</w:t>
                  </w:r>
                </w:p>
              </w:tc>
              <w:tc>
                <w:tcPr>
                  <w:tcW w:w="992" w:type="dxa"/>
                  <w:tcBorders>
                    <w:top w:val="nil"/>
                    <w:left w:val="nil"/>
                    <w:bottom w:val="single" w:sz="4" w:space="0" w:color="auto"/>
                    <w:right w:val="single" w:sz="4" w:space="0" w:color="auto"/>
                  </w:tcBorders>
                  <w:shd w:val="clear" w:color="auto" w:fill="auto"/>
                  <w:noWrap/>
                  <w:vAlign w:val="bottom"/>
                  <w:hideMark/>
                </w:tcPr>
                <w:p w14:paraId="771E1E2A" w14:textId="77777777" w:rsidR="001244E4" w:rsidRPr="009D4714" w:rsidRDefault="001244E4" w:rsidP="001244E4">
                  <w:pPr>
                    <w:jc w:val="center"/>
                    <w:rPr>
                      <w:color w:val="000000"/>
                      <w:sz w:val="16"/>
                      <w:szCs w:val="16"/>
                    </w:rPr>
                  </w:pPr>
                  <w:r w:rsidRPr="009D4714">
                    <w:rPr>
                      <w:color w:val="000000"/>
                      <w:sz w:val="16"/>
                      <w:szCs w:val="16"/>
                    </w:rPr>
                    <w:t>71,251,252</w:t>
                  </w:r>
                </w:p>
              </w:tc>
              <w:tc>
                <w:tcPr>
                  <w:tcW w:w="992" w:type="dxa"/>
                  <w:tcBorders>
                    <w:top w:val="nil"/>
                    <w:left w:val="nil"/>
                    <w:bottom w:val="single" w:sz="4" w:space="0" w:color="auto"/>
                    <w:right w:val="single" w:sz="4" w:space="0" w:color="auto"/>
                  </w:tcBorders>
                  <w:shd w:val="clear" w:color="auto" w:fill="auto"/>
                  <w:noWrap/>
                  <w:vAlign w:val="bottom"/>
                  <w:hideMark/>
                </w:tcPr>
                <w:p w14:paraId="59782073" w14:textId="77777777" w:rsidR="001244E4" w:rsidRPr="009D4714" w:rsidRDefault="001244E4" w:rsidP="001244E4">
                  <w:pPr>
                    <w:jc w:val="center"/>
                    <w:rPr>
                      <w:color w:val="000000"/>
                      <w:sz w:val="16"/>
                      <w:szCs w:val="16"/>
                    </w:rPr>
                  </w:pPr>
                  <w:r w:rsidRPr="009D4714">
                    <w:rPr>
                      <w:color w:val="000000"/>
                      <w:sz w:val="16"/>
                      <w:szCs w:val="16"/>
                    </w:rPr>
                    <w:t>75,024,481</w:t>
                  </w:r>
                </w:p>
              </w:tc>
              <w:tc>
                <w:tcPr>
                  <w:tcW w:w="1134" w:type="dxa"/>
                  <w:tcBorders>
                    <w:top w:val="nil"/>
                    <w:left w:val="nil"/>
                    <w:bottom w:val="single" w:sz="4" w:space="0" w:color="auto"/>
                    <w:right w:val="single" w:sz="4" w:space="0" w:color="auto"/>
                  </w:tcBorders>
                  <w:shd w:val="clear" w:color="auto" w:fill="auto"/>
                  <w:noWrap/>
                  <w:vAlign w:val="bottom"/>
                  <w:hideMark/>
                </w:tcPr>
                <w:p w14:paraId="7081CAE5" w14:textId="77777777" w:rsidR="001244E4" w:rsidRPr="009D4714" w:rsidRDefault="001244E4" w:rsidP="001244E4">
                  <w:pPr>
                    <w:jc w:val="center"/>
                    <w:rPr>
                      <w:color w:val="000000"/>
                      <w:sz w:val="16"/>
                      <w:szCs w:val="16"/>
                    </w:rPr>
                  </w:pPr>
                  <w:r w:rsidRPr="009D4714">
                    <w:rPr>
                      <w:color w:val="000000"/>
                      <w:sz w:val="16"/>
                      <w:szCs w:val="16"/>
                    </w:rPr>
                    <w:t>109,198,242</w:t>
                  </w:r>
                </w:p>
              </w:tc>
              <w:tc>
                <w:tcPr>
                  <w:tcW w:w="992" w:type="dxa"/>
                  <w:tcBorders>
                    <w:top w:val="nil"/>
                    <w:left w:val="nil"/>
                    <w:bottom w:val="single" w:sz="4" w:space="0" w:color="auto"/>
                    <w:right w:val="single" w:sz="4" w:space="0" w:color="auto"/>
                  </w:tcBorders>
                  <w:shd w:val="clear" w:color="auto" w:fill="auto"/>
                  <w:noWrap/>
                  <w:vAlign w:val="bottom"/>
                  <w:hideMark/>
                </w:tcPr>
                <w:p w14:paraId="3E519B58" w14:textId="77777777" w:rsidR="001244E4" w:rsidRPr="009D4714" w:rsidRDefault="001244E4" w:rsidP="001244E4">
                  <w:pPr>
                    <w:jc w:val="center"/>
                    <w:rPr>
                      <w:color w:val="000000"/>
                      <w:sz w:val="16"/>
                      <w:szCs w:val="16"/>
                    </w:rPr>
                  </w:pPr>
                  <w:r w:rsidRPr="009D4714">
                    <w:rPr>
                      <w:color w:val="000000"/>
                      <w:sz w:val="16"/>
                      <w:szCs w:val="16"/>
                    </w:rPr>
                    <w:t>73,354,113</w:t>
                  </w:r>
                </w:p>
              </w:tc>
              <w:tc>
                <w:tcPr>
                  <w:tcW w:w="1134" w:type="dxa"/>
                  <w:tcBorders>
                    <w:top w:val="nil"/>
                    <w:left w:val="nil"/>
                    <w:bottom w:val="single" w:sz="4" w:space="0" w:color="auto"/>
                    <w:right w:val="single" w:sz="4" w:space="0" w:color="auto"/>
                  </w:tcBorders>
                  <w:shd w:val="clear" w:color="auto" w:fill="auto"/>
                  <w:noWrap/>
                  <w:vAlign w:val="bottom"/>
                  <w:hideMark/>
                </w:tcPr>
                <w:p w14:paraId="5BC14506" w14:textId="77777777" w:rsidR="001244E4" w:rsidRPr="009D4714" w:rsidRDefault="001244E4" w:rsidP="001244E4">
                  <w:pPr>
                    <w:jc w:val="center"/>
                    <w:rPr>
                      <w:color w:val="000000"/>
                      <w:sz w:val="16"/>
                      <w:szCs w:val="16"/>
                    </w:rPr>
                  </w:pPr>
                  <w:r w:rsidRPr="009D4714">
                    <w:rPr>
                      <w:color w:val="000000"/>
                      <w:sz w:val="16"/>
                      <w:szCs w:val="16"/>
                    </w:rPr>
                    <w:t>21,552,500</w:t>
                  </w:r>
                </w:p>
              </w:tc>
              <w:tc>
                <w:tcPr>
                  <w:tcW w:w="709" w:type="dxa"/>
                  <w:tcBorders>
                    <w:top w:val="nil"/>
                    <w:left w:val="nil"/>
                    <w:bottom w:val="single" w:sz="4" w:space="0" w:color="auto"/>
                    <w:right w:val="single" w:sz="4" w:space="0" w:color="auto"/>
                  </w:tcBorders>
                  <w:shd w:val="clear" w:color="auto" w:fill="auto"/>
                  <w:noWrap/>
                  <w:vAlign w:val="bottom"/>
                  <w:hideMark/>
                </w:tcPr>
                <w:p w14:paraId="2081F104" w14:textId="77777777" w:rsidR="001244E4" w:rsidRPr="009D4714" w:rsidRDefault="001244E4" w:rsidP="001244E4">
                  <w:pPr>
                    <w:jc w:val="center"/>
                    <w:rPr>
                      <w:color w:val="000000"/>
                      <w:sz w:val="16"/>
                      <w:szCs w:val="16"/>
                    </w:rPr>
                  </w:pPr>
                  <w:r w:rsidRPr="009D4714">
                    <w:rPr>
                      <w:color w:val="000000"/>
                      <w:sz w:val="16"/>
                      <w:szCs w:val="16"/>
                    </w:rPr>
                    <w:t>54,030,781</w:t>
                  </w:r>
                </w:p>
              </w:tc>
            </w:tr>
            <w:tr w:rsidR="00D21803" w:rsidRPr="009D4714" w14:paraId="7BE73A82" w14:textId="77777777" w:rsidTr="00D21803">
              <w:trPr>
                <w:trHeight w:val="30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2E3FFA1D" w14:textId="77777777" w:rsidR="001244E4" w:rsidRPr="009D4714" w:rsidRDefault="001244E4" w:rsidP="001244E4">
                  <w:pPr>
                    <w:rPr>
                      <w:color w:val="000000"/>
                      <w:sz w:val="16"/>
                      <w:szCs w:val="16"/>
                    </w:rPr>
                  </w:pPr>
                  <w:r w:rsidRPr="009D4714">
                    <w:rPr>
                      <w:color w:val="000000"/>
                      <w:sz w:val="16"/>
                      <w:szCs w:val="16"/>
                    </w:rPr>
                    <w:t>Cost OST de la creșterea de putere (</w:t>
                  </w:r>
                  <w:proofErr w:type="spellStart"/>
                  <w:r w:rsidRPr="009D4714">
                    <w:rPr>
                      <w:color w:val="000000"/>
                      <w:sz w:val="16"/>
                      <w:szCs w:val="16"/>
                    </w:rPr>
                    <w:t>Rc</w:t>
                  </w:r>
                  <w:proofErr w:type="spellEnd"/>
                  <w:r w:rsidRPr="009D4714">
                    <w:rPr>
                      <w:color w:val="000000"/>
                      <w:sz w:val="16"/>
                      <w:szCs w:val="16"/>
                    </w:rPr>
                    <w:t>)</w:t>
                  </w:r>
                </w:p>
              </w:tc>
              <w:tc>
                <w:tcPr>
                  <w:tcW w:w="1115" w:type="dxa"/>
                  <w:tcBorders>
                    <w:top w:val="nil"/>
                    <w:left w:val="nil"/>
                    <w:bottom w:val="single" w:sz="4" w:space="0" w:color="auto"/>
                    <w:right w:val="single" w:sz="4" w:space="0" w:color="auto"/>
                  </w:tcBorders>
                  <w:shd w:val="clear" w:color="auto" w:fill="auto"/>
                  <w:noWrap/>
                  <w:vAlign w:val="bottom"/>
                  <w:hideMark/>
                </w:tcPr>
                <w:p w14:paraId="676AFF47" w14:textId="77777777" w:rsidR="001244E4" w:rsidRPr="009D4714" w:rsidRDefault="001244E4" w:rsidP="001244E4">
                  <w:pPr>
                    <w:jc w:val="center"/>
                    <w:rPr>
                      <w:color w:val="000000"/>
                      <w:sz w:val="16"/>
                      <w:szCs w:val="16"/>
                    </w:rPr>
                  </w:pPr>
                  <w:r w:rsidRPr="009D4714">
                    <w:rPr>
                      <w:color w:val="000000"/>
                      <w:sz w:val="16"/>
                      <w:szCs w:val="16"/>
                    </w:rPr>
                    <w:t>65,822,218</w:t>
                  </w:r>
                </w:p>
              </w:tc>
              <w:tc>
                <w:tcPr>
                  <w:tcW w:w="992" w:type="dxa"/>
                  <w:tcBorders>
                    <w:top w:val="nil"/>
                    <w:left w:val="nil"/>
                    <w:bottom w:val="single" w:sz="4" w:space="0" w:color="auto"/>
                    <w:right w:val="single" w:sz="4" w:space="0" w:color="auto"/>
                  </w:tcBorders>
                  <w:shd w:val="clear" w:color="auto" w:fill="auto"/>
                  <w:noWrap/>
                  <w:vAlign w:val="bottom"/>
                  <w:hideMark/>
                </w:tcPr>
                <w:p w14:paraId="0ED03158" w14:textId="77777777" w:rsidR="001244E4" w:rsidRPr="009D4714" w:rsidRDefault="001244E4" w:rsidP="001244E4">
                  <w:pPr>
                    <w:jc w:val="center"/>
                    <w:rPr>
                      <w:color w:val="000000"/>
                      <w:sz w:val="16"/>
                      <w:szCs w:val="16"/>
                    </w:rPr>
                  </w:pPr>
                  <w:r w:rsidRPr="009D4714">
                    <w:rPr>
                      <w:color w:val="000000"/>
                      <w:sz w:val="16"/>
                      <w:szCs w:val="16"/>
                    </w:rPr>
                    <w:t>42,893,786</w:t>
                  </w:r>
                </w:p>
              </w:tc>
              <w:tc>
                <w:tcPr>
                  <w:tcW w:w="992" w:type="dxa"/>
                  <w:tcBorders>
                    <w:top w:val="nil"/>
                    <w:left w:val="nil"/>
                    <w:bottom w:val="single" w:sz="4" w:space="0" w:color="auto"/>
                    <w:right w:val="single" w:sz="4" w:space="0" w:color="auto"/>
                  </w:tcBorders>
                  <w:shd w:val="clear" w:color="auto" w:fill="auto"/>
                  <w:noWrap/>
                  <w:vAlign w:val="bottom"/>
                  <w:hideMark/>
                </w:tcPr>
                <w:p w14:paraId="6401BBAF" w14:textId="77777777" w:rsidR="001244E4" w:rsidRPr="009D4714" w:rsidRDefault="001244E4" w:rsidP="001244E4">
                  <w:pPr>
                    <w:jc w:val="center"/>
                    <w:rPr>
                      <w:color w:val="000000"/>
                      <w:sz w:val="16"/>
                      <w:szCs w:val="16"/>
                    </w:rPr>
                  </w:pPr>
                  <w:r w:rsidRPr="009D4714">
                    <w:rPr>
                      <w:color w:val="000000"/>
                      <w:sz w:val="16"/>
                      <w:szCs w:val="16"/>
                    </w:rPr>
                    <w:t>74,715,382</w:t>
                  </w:r>
                </w:p>
              </w:tc>
              <w:tc>
                <w:tcPr>
                  <w:tcW w:w="1134" w:type="dxa"/>
                  <w:tcBorders>
                    <w:top w:val="nil"/>
                    <w:left w:val="nil"/>
                    <w:bottom w:val="single" w:sz="4" w:space="0" w:color="auto"/>
                    <w:right w:val="single" w:sz="4" w:space="0" w:color="auto"/>
                  </w:tcBorders>
                  <w:shd w:val="clear" w:color="auto" w:fill="auto"/>
                  <w:noWrap/>
                  <w:vAlign w:val="bottom"/>
                  <w:hideMark/>
                </w:tcPr>
                <w:p w14:paraId="318A03B0" w14:textId="77777777" w:rsidR="001244E4" w:rsidRPr="009D4714" w:rsidRDefault="001244E4" w:rsidP="001244E4">
                  <w:pPr>
                    <w:jc w:val="center"/>
                    <w:rPr>
                      <w:color w:val="000000"/>
                      <w:sz w:val="16"/>
                      <w:szCs w:val="16"/>
                    </w:rPr>
                  </w:pPr>
                  <w:r w:rsidRPr="009D4714">
                    <w:rPr>
                      <w:color w:val="000000"/>
                      <w:sz w:val="16"/>
                      <w:szCs w:val="16"/>
                    </w:rPr>
                    <w:t>19,370,468</w:t>
                  </w:r>
                </w:p>
              </w:tc>
              <w:tc>
                <w:tcPr>
                  <w:tcW w:w="992" w:type="dxa"/>
                  <w:tcBorders>
                    <w:top w:val="nil"/>
                    <w:left w:val="nil"/>
                    <w:bottom w:val="single" w:sz="4" w:space="0" w:color="auto"/>
                    <w:right w:val="single" w:sz="4" w:space="0" w:color="auto"/>
                  </w:tcBorders>
                  <w:shd w:val="clear" w:color="auto" w:fill="auto"/>
                  <w:noWrap/>
                  <w:vAlign w:val="bottom"/>
                  <w:hideMark/>
                </w:tcPr>
                <w:p w14:paraId="16BC4BFC" w14:textId="77777777" w:rsidR="001244E4" w:rsidRPr="009D4714" w:rsidRDefault="001244E4" w:rsidP="001244E4">
                  <w:pPr>
                    <w:jc w:val="center"/>
                    <w:rPr>
                      <w:color w:val="000000"/>
                      <w:sz w:val="16"/>
                      <w:szCs w:val="16"/>
                    </w:rPr>
                  </w:pPr>
                  <w:r w:rsidRPr="009D4714">
                    <w:rPr>
                      <w:color w:val="000000"/>
                      <w:sz w:val="16"/>
                      <w:szCs w:val="16"/>
                    </w:rPr>
                    <w:t>64,335,163</w:t>
                  </w:r>
                </w:p>
              </w:tc>
              <w:tc>
                <w:tcPr>
                  <w:tcW w:w="1134" w:type="dxa"/>
                  <w:tcBorders>
                    <w:top w:val="nil"/>
                    <w:left w:val="nil"/>
                    <w:bottom w:val="single" w:sz="4" w:space="0" w:color="auto"/>
                    <w:right w:val="single" w:sz="4" w:space="0" w:color="auto"/>
                  </w:tcBorders>
                  <w:shd w:val="clear" w:color="auto" w:fill="auto"/>
                  <w:noWrap/>
                  <w:vAlign w:val="bottom"/>
                  <w:hideMark/>
                </w:tcPr>
                <w:p w14:paraId="50BBBC3E" w14:textId="77777777" w:rsidR="001244E4" w:rsidRPr="009D4714" w:rsidRDefault="001244E4" w:rsidP="001244E4">
                  <w:pPr>
                    <w:jc w:val="center"/>
                    <w:rPr>
                      <w:color w:val="000000"/>
                      <w:sz w:val="16"/>
                      <w:szCs w:val="16"/>
                    </w:rPr>
                  </w:pPr>
                  <w:r w:rsidRPr="009D4714">
                    <w:rPr>
                      <w:color w:val="000000"/>
                      <w:sz w:val="16"/>
                      <w:szCs w:val="16"/>
                    </w:rPr>
                    <w:t>172,840,755</w:t>
                  </w:r>
                </w:p>
              </w:tc>
              <w:tc>
                <w:tcPr>
                  <w:tcW w:w="709" w:type="dxa"/>
                  <w:tcBorders>
                    <w:top w:val="nil"/>
                    <w:left w:val="nil"/>
                    <w:bottom w:val="single" w:sz="4" w:space="0" w:color="auto"/>
                    <w:right w:val="single" w:sz="4" w:space="0" w:color="auto"/>
                  </w:tcBorders>
                  <w:shd w:val="clear" w:color="auto" w:fill="auto"/>
                  <w:noWrap/>
                  <w:vAlign w:val="bottom"/>
                  <w:hideMark/>
                </w:tcPr>
                <w:p w14:paraId="4D316B1E" w14:textId="77777777" w:rsidR="001244E4" w:rsidRPr="009D4714" w:rsidRDefault="001244E4" w:rsidP="001244E4">
                  <w:pPr>
                    <w:jc w:val="center"/>
                    <w:rPr>
                      <w:color w:val="000000"/>
                      <w:sz w:val="16"/>
                      <w:szCs w:val="16"/>
                    </w:rPr>
                  </w:pPr>
                  <w:r w:rsidRPr="009D4714">
                    <w:rPr>
                      <w:color w:val="000000"/>
                      <w:sz w:val="16"/>
                      <w:szCs w:val="16"/>
                    </w:rPr>
                    <w:t>28,519,088</w:t>
                  </w:r>
                </w:p>
              </w:tc>
            </w:tr>
            <w:tr w:rsidR="00D21803" w:rsidRPr="009D4714" w14:paraId="33E4BEA1" w14:textId="77777777" w:rsidTr="00D21803">
              <w:trPr>
                <w:trHeight w:val="30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70BC7A8B" w14:textId="77777777" w:rsidR="001244E4" w:rsidRPr="009D4714" w:rsidRDefault="001244E4" w:rsidP="001244E4">
                  <w:pPr>
                    <w:rPr>
                      <w:color w:val="000000"/>
                      <w:sz w:val="16"/>
                      <w:szCs w:val="16"/>
                    </w:rPr>
                  </w:pPr>
                  <w:r w:rsidRPr="009D4714">
                    <w:rPr>
                      <w:color w:val="000000"/>
                      <w:sz w:val="16"/>
                      <w:szCs w:val="16"/>
                    </w:rPr>
                    <w:t xml:space="preserve">Plăți PRE către OST pentru deficit </w:t>
                  </w:r>
                </w:p>
              </w:tc>
              <w:tc>
                <w:tcPr>
                  <w:tcW w:w="1115" w:type="dxa"/>
                  <w:tcBorders>
                    <w:top w:val="nil"/>
                    <w:left w:val="nil"/>
                    <w:bottom w:val="single" w:sz="4" w:space="0" w:color="auto"/>
                    <w:right w:val="single" w:sz="4" w:space="0" w:color="auto"/>
                  </w:tcBorders>
                  <w:shd w:val="clear" w:color="auto" w:fill="auto"/>
                  <w:noWrap/>
                  <w:vAlign w:val="bottom"/>
                  <w:hideMark/>
                </w:tcPr>
                <w:p w14:paraId="09B6274D" w14:textId="77777777" w:rsidR="001244E4" w:rsidRPr="009D4714" w:rsidRDefault="001244E4" w:rsidP="001244E4">
                  <w:pPr>
                    <w:jc w:val="center"/>
                    <w:rPr>
                      <w:color w:val="000000"/>
                      <w:sz w:val="16"/>
                      <w:szCs w:val="16"/>
                    </w:rPr>
                  </w:pPr>
                  <w:r w:rsidRPr="009D4714">
                    <w:rPr>
                      <w:color w:val="000000"/>
                      <w:sz w:val="16"/>
                      <w:szCs w:val="16"/>
                    </w:rPr>
                    <w:t>111,648,884</w:t>
                  </w:r>
                </w:p>
              </w:tc>
              <w:tc>
                <w:tcPr>
                  <w:tcW w:w="992" w:type="dxa"/>
                  <w:tcBorders>
                    <w:top w:val="nil"/>
                    <w:left w:val="nil"/>
                    <w:bottom w:val="single" w:sz="4" w:space="0" w:color="auto"/>
                    <w:right w:val="single" w:sz="4" w:space="0" w:color="auto"/>
                  </w:tcBorders>
                  <w:shd w:val="clear" w:color="auto" w:fill="auto"/>
                  <w:noWrap/>
                  <w:vAlign w:val="bottom"/>
                  <w:hideMark/>
                </w:tcPr>
                <w:p w14:paraId="2C0E71BE" w14:textId="77777777" w:rsidR="001244E4" w:rsidRPr="009D4714" w:rsidRDefault="001244E4" w:rsidP="001244E4">
                  <w:pPr>
                    <w:jc w:val="center"/>
                    <w:rPr>
                      <w:color w:val="000000"/>
                      <w:sz w:val="16"/>
                      <w:szCs w:val="16"/>
                    </w:rPr>
                  </w:pPr>
                  <w:r w:rsidRPr="009D4714">
                    <w:rPr>
                      <w:color w:val="000000"/>
                      <w:sz w:val="16"/>
                      <w:szCs w:val="16"/>
                    </w:rPr>
                    <w:t>94,680,063</w:t>
                  </w:r>
                </w:p>
              </w:tc>
              <w:tc>
                <w:tcPr>
                  <w:tcW w:w="992" w:type="dxa"/>
                  <w:tcBorders>
                    <w:top w:val="nil"/>
                    <w:left w:val="nil"/>
                    <w:bottom w:val="single" w:sz="4" w:space="0" w:color="auto"/>
                    <w:right w:val="single" w:sz="4" w:space="0" w:color="auto"/>
                  </w:tcBorders>
                  <w:shd w:val="clear" w:color="auto" w:fill="auto"/>
                  <w:noWrap/>
                  <w:vAlign w:val="bottom"/>
                  <w:hideMark/>
                </w:tcPr>
                <w:p w14:paraId="412E456A" w14:textId="77777777" w:rsidR="001244E4" w:rsidRPr="009D4714" w:rsidRDefault="001244E4" w:rsidP="001244E4">
                  <w:pPr>
                    <w:jc w:val="center"/>
                    <w:rPr>
                      <w:color w:val="000000"/>
                      <w:sz w:val="16"/>
                      <w:szCs w:val="16"/>
                    </w:rPr>
                  </w:pPr>
                  <w:r w:rsidRPr="009D4714">
                    <w:rPr>
                      <w:color w:val="000000"/>
                      <w:sz w:val="16"/>
                      <w:szCs w:val="16"/>
                    </w:rPr>
                    <w:t>112,550,833</w:t>
                  </w:r>
                </w:p>
              </w:tc>
              <w:tc>
                <w:tcPr>
                  <w:tcW w:w="1134" w:type="dxa"/>
                  <w:tcBorders>
                    <w:top w:val="nil"/>
                    <w:left w:val="nil"/>
                    <w:bottom w:val="single" w:sz="4" w:space="0" w:color="auto"/>
                    <w:right w:val="single" w:sz="4" w:space="0" w:color="auto"/>
                  </w:tcBorders>
                  <w:shd w:val="clear" w:color="auto" w:fill="auto"/>
                  <w:noWrap/>
                  <w:vAlign w:val="bottom"/>
                  <w:hideMark/>
                </w:tcPr>
                <w:p w14:paraId="2729C09C" w14:textId="77777777" w:rsidR="001244E4" w:rsidRPr="009D4714" w:rsidRDefault="001244E4" w:rsidP="001244E4">
                  <w:pPr>
                    <w:jc w:val="center"/>
                    <w:rPr>
                      <w:color w:val="000000"/>
                      <w:sz w:val="16"/>
                      <w:szCs w:val="16"/>
                    </w:rPr>
                  </w:pPr>
                  <w:r w:rsidRPr="009D4714">
                    <w:rPr>
                      <w:color w:val="000000"/>
                      <w:sz w:val="16"/>
                      <w:szCs w:val="16"/>
                    </w:rPr>
                    <w:t>33,284,975</w:t>
                  </w:r>
                </w:p>
              </w:tc>
              <w:tc>
                <w:tcPr>
                  <w:tcW w:w="992" w:type="dxa"/>
                  <w:tcBorders>
                    <w:top w:val="nil"/>
                    <w:left w:val="nil"/>
                    <w:bottom w:val="single" w:sz="4" w:space="0" w:color="auto"/>
                    <w:right w:val="single" w:sz="4" w:space="0" w:color="auto"/>
                  </w:tcBorders>
                  <w:shd w:val="clear" w:color="auto" w:fill="auto"/>
                  <w:noWrap/>
                  <w:vAlign w:val="bottom"/>
                  <w:hideMark/>
                </w:tcPr>
                <w:p w14:paraId="07CEF6FE" w14:textId="77777777" w:rsidR="001244E4" w:rsidRPr="009D4714" w:rsidRDefault="001244E4" w:rsidP="001244E4">
                  <w:pPr>
                    <w:jc w:val="center"/>
                    <w:rPr>
                      <w:color w:val="000000"/>
                      <w:sz w:val="16"/>
                      <w:szCs w:val="16"/>
                    </w:rPr>
                  </w:pPr>
                  <w:r w:rsidRPr="009D4714">
                    <w:rPr>
                      <w:color w:val="000000"/>
                      <w:sz w:val="16"/>
                      <w:szCs w:val="16"/>
                    </w:rPr>
                    <w:t>87,677,001</w:t>
                  </w:r>
                </w:p>
              </w:tc>
              <w:tc>
                <w:tcPr>
                  <w:tcW w:w="1134" w:type="dxa"/>
                  <w:tcBorders>
                    <w:top w:val="nil"/>
                    <w:left w:val="nil"/>
                    <w:bottom w:val="single" w:sz="4" w:space="0" w:color="auto"/>
                    <w:right w:val="single" w:sz="4" w:space="0" w:color="auto"/>
                  </w:tcBorders>
                  <w:shd w:val="clear" w:color="auto" w:fill="auto"/>
                  <w:noWrap/>
                  <w:vAlign w:val="bottom"/>
                  <w:hideMark/>
                </w:tcPr>
                <w:p w14:paraId="29E62B57" w14:textId="77777777" w:rsidR="001244E4" w:rsidRPr="009D4714" w:rsidRDefault="001244E4" w:rsidP="001244E4">
                  <w:pPr>
                    <w:jc w:val="center"/>
                    <w:rPr>
                      <w:color w:val="000000"/>
                      <w:sz w:val="16"/>
                      <w:szCs w:val="16"/>
                    </w:rPr>
                  </w:pPr>
                  <w:r w:rsidRPr="009D4714">
                    <w:rPr>
                      <w:color w:val="000000"/>
                      <w:sz w:val="16"/>
                      <w:szCs w:val="16"/>
                    </w:rPr>
                    <w:t>99,260,964</w:t>
                  </w:r>
                </w:p>
              </w:tc>
              <w:tc>
                <w:tcPr>
                  <w:tcW w:w="709" w:type="dxa"/>
                  <w:tcBorders>
                    <w:top w:val="nil"/>
                    <w:left w:val="nil"/>
                    <w:bottom w:val="single" w:sz="4" w:space="0" w:color="auto"/>
                    <w:right w:val="single" w:sz="4" w:space="0" w:color="auto"/>
                  </w:tcBorders>
                  <w:shd w:val="clear" w:color="auto" w:fill="auto"/>
                  <w:noWrap/>
                  <w:vAlign w:val="bottom"/>
                  <w:hideMark/>
                </w:tcPr>
                <w:p w14:paraId="7E1983DD" w14:textId="77777777" w:rsidR="001244E4" w:rsidRPr="009D4714" w:rsidRDefault="001244E4" w:rsidP="001244E4">
                  <w:pPr>
                    <w:jc w:val="center"/>
                    <w:rPr>
                      <w:color w:val="000000"/>
                      <w:sz w:val="16"/>
                      <w:szCs w:val="16"/>
                    </w:rPr>
                  </w:pPr>
                  <w:r w:rsidRPr="009D4714">
                    <w:rPr>
                      <w:color w:val="000000"/>
                      <w:sz w:val="16"/>
                      <w:szCs w:val="16"/>
                    </w:rPr>
                    <w:t>57,293,634</w:t>
                  </w:r>
                </w:p>
              </w:tc>
            </w:tr>
            <w:tr w:rsidR="00D21803" w:rsidRPr="009D4714" w14:paraId="28970508" w14:textId="77777777" w:rsidTr="00D21803">
              <w:trPr>
                <w:trHeight w:val="30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6971FE61" w14:textId="77777777" w:rsidR="001244E4" w:rsidRPr="009D4714" w:rsidRDefault="001244E4" w:rsidP="001244E4">
                  <w:pPr>
                    <w:rPr>
                      <w:color w:val="000000"/>
                      <w:sz w:val="16"/>
                      <w:szCs w:val="16"/>
                    </w:rPr>
                  </w:pPr>
                  <w:r w:rsidRPr="009D4714">
                    <w:rPr>
                      <w:color w:val="000000"/>
                      <w:sz w:val="16"/>
                      <w:szCs w:val="16"/>
                    </w:rPr>
                    <w:t>Plăți OST către PRE pentru excedent</w:t>
                  </w:r>
                </w:p>
              </w:tc>
              <w:tc>
                <w:tcPr>
                  <w:tcW w:w="1115" w:type="dxa"/>
                  <w:tcBorders>
                    <w:top w:val="nil"/>
                    <w:left w:val="nil"/>
                    <w:bottom w:val="single" w:sz="4" w:space="0" w:color="auto"/>
                    <w:right w:val="single" w:sz="4" w:space="0" w:color="auto"/>
                  </w:tcBorders>
                  <w:shd w:val="clear" w:color="auto" w:fill="auto"/>
                  <w:noWrap/>
                  <w:vAlign w:val="bottom"/>
                  <w:hideMark/>
                </w:tcPr>
                <w:p w14:paraId="5538AB8D" w14:textId="77777777" w:rsidR="001244E4" w:rsidRPr="009D4714" w:rsidRDefault="001244E4" w:rsidP="001244E4">
                  <w:pPr>
                    <w:jc w:val="center"/>
                    <w:rPr>
                      <w:color w:val="000000"/>
                      <w:sz w:val="16"/>
                      <w:szCs w:val="16"/>
                    </w:rPr>
                  </w:pPr>
                  <w:r w:rsidRPr="009D4714">
                    <w:rPr>
                      <w:color w:val="000000"/>
                      <w:sz w:val="16"/>
                      <w:szCs w:val="16"/>
                    </w:rPr>
                    <w:t>10,850,986</w:t>
                  </w:r>
                </w:p>
              </w:tc>
              <w:tc>
                <w:tcPr>
                  <w:tcW w:w="992" w:type="dxa"/>
                  <w:tcBorders>
                    <w:top w:val="nil"/>
                    <w:left w:val="nil"/>
                    <w:bottom w:val="single" w:sz="4" w:space="0" w:color="auto"/>
                    <w:right w:val="single" w:sz="4" w:space="0" w:color="auto"/>
                  </w:tcBorders>
                  <w:shd w:val="clear" w:color="auto" w:fill="auto"/>
                  <w:noWrap/>
                  <w:vAlign w:val="bottom"/>
                  <w:hideMark/>
                </w:tcPr>
                <w:p w14:paraId="7A1A11AB" w14:textId="77777777" w:rsidR="001244E4" w:rsidRPr="009D4714" w:rsidRDefault="001244E4" w:rsidP="001244E4">
                  <w:pPr>
                    <w:jc w:val="center"/>
                    <w:rPr>
                      <w:color w:val="000000"/>
                      <w:sz w:val="16"/>
                      <w:szCs w:val="16"/>
                    </w:rPr>
                  </w:pPr>
                  <w:r w:rsidRPr="009D4714">
                    <w:rPr>
                      <w:color w:val="000000"/>
                      <w:sz w:val="16"/>
                      <w:szCs w:val="16"/>
                    </w:rPr>
                    <w:t>10,084,018</w:t>
                  </w:r>
                </w:p>
              </w:tc>
              <w:tc>
                <w:tcPr>
                  <w:tcW w:w="992" w:type="dxa"/>
                  <w:tcBorders>
                    <w:top w:val="nil"/>
                    <w:left w:val="nil"/>
                    <w:bottom w:val="single" w:sz="4" w:space="0" w:color="auto"/>
                    <w:right w:val="single" w:sz="4" w:space="0" w:color="auto"/>
                  </w:tcBorders>
                  <w:shd w:val="clear" w:color="auto" w:fill="auto"/>
                  <w:noWrap/>
                  <w:vAlign w:val="bottom"/>
                  <w:hideMark/>
                </w:tcPr>
                <w:p w14:paraId="5524B7F8" w14:textId="77777777" w:rsidR="001244E4" w:rsidRPr="009D4714" w:rsidRDefault="001244E4" w:rsidP="001244E4">
                  <w:pPr>
                    <w:jc w:val="center"/>
                    <w:rPr>
                      <w:color w:val="000000"/>
                      <w:sz w:val="16"/>
                      <w:szCs w:val="16"/>
                    </w:rPr>
                  </w:pPr>
                  <w:r w:rsidRPr="009D4714">
                    <w:rPr>
                      <w:color w:val="000000"/>
                      <w:sz w:val="16"/>
                      <w:szCs w:val="16"/>
                    </w:rPr>
                    <w:t>10,793,593</w:t>
                  </w:r>
                </w:p>
              </w:tc>
              <w:tc>
                <w:tcPr>
                  <w:tcW w:w="1134" w:type="dxa"/>
                  <w:tcBorders>
                    <w:top w:val="nil"/>
                    <w:left w:val="nil"/>
                    <w:bottom w:val="single" w:sz="4" w:space="0" w:color="auto"/>
                    <w:right w:val="single" w:sz="4" w:space="0" w:color="auto"/>
                  </w:tcBorders>
                  <w:shd w:val="clear" w:color="auto" w:fill="auto"/>
                  <w:noWrap/>
                  <w:vAlign w:val="bottom"/>
                  <w:hideMark/>
                </w:tcPr>
                <w:p w14:paraId="7CB27FD4" w14:textId="77777777" w:rsidR="001244E4" w:rsidRPr="009D4714" w:rsidRDefault="001244E4" w:rsidP="001244E4">
                  <w:pPr>
                    <w:jc w:val="center"/>
                    <w:rPr>
                      <w:color w:val="000000"/>
                      <w:sz w:val="16"/>
                      <w:szCs w:val="16"/>
                    </w:rPr>
                  </w:pPr>
                  <w:r w:rsidRPr="009D4714">
                    <w:rPr>
                      <w:color w:val="000000"/>
                      <w:sz w:val="16"/>
                      <w:szCs w:val="16"/>
                    </w:rPr>
                    <w:t>7,148,140</w:t>
                  </w:r>
                </w:p>
              </w:tc>
              <w:tc>
                <w:tcPr>
                  <w:tcW w:w="992" w:type="dxa"/>
                  <w:tcBorders>
                    <w:top w:val="nil"/>
                    <w:left w:val="nil"/>
                    <w:bottom w:val="single" w:sz="4" w:space="0" w:color="auto"/>
                    <w:right w:val="single" w:sz="4" w:space="0" w:color="auto"/>
                  </w:tcBorders>
                  <w:shd w:val="clear" w:color="auto" w:fill="auto"/>
                  <w:noWrap/>
                  <w:vAlign w:val="bottom"/>
                  <w:hideMark/>
                </w:tcPr>
                <w:p w14:paraId="66DEE6F1" w14:textId="77777777" w:rsidR="001244E4" w:rsidRPr="009D4714" w:rsidRDefault="001244E4" w:rsidP="001244E4">
                  <w:pPr>
                    <w:jc w:val="center"/>
                    <w:rPr>
                      <w:color w:val="000000"/>
                      <w:sz w:val="16"/>
                      <w:szCs w:val="16"/>
                    </w:rPr>
                  </w:pPr>
                  <w:r w:rsidRPr="009D4714">
                    <w:rPr>
                      <w:color w:val="000000"/>
                      <w:sz w:val="16"/>
                      <w:szCs w:val="16"/>
                    </w:rPr>
                    <w:t>26,814,928</w:t>
                  </w:r>
                </w:p>
              </w:tc>
              <w:tc>
                <w:tcPr>
                  <w:tcW w:w="1134" w:type="dxa"/>
                  <w:tcBorders>
                    <w:top w:val="nil"/>
                    <w:left w:val="nil"/>
                    <w:bottom w:val="single" w:sz="4" w:space="0" w:color="auto"/>
                    <w:right w:val="single" w:sz="4" w:space="0" w:color="auto"/>
                  </w:tcBorders>
                  <w:shd w:val="clear" w:color="auto" w:fill="auto"/>
                  <w:noWrap/>
                  <w:vAlign w:val="bottom"/>
                  <w:hideMark/>
                </w:tcPr>
                <w:p w14:paraId="104EA05E" w14:textId="77777777" w:rsidR="001244E4" w:rsidRPr="009D4714" w:rsidRDefault="001244E4" w:rsidP="001244E4">
                  <w:pPr>
                    <w:jc w:val="center"/>
                    <w:rPr>
                      <w:color w:val="000000"/>
                      <w:sz w:val="16"/>
                      <w:szCs w:val="16"/>
                    </w:rPr>
                  </w:pPr>
                  <w:r w:rsidRPr="009D4714">
                    <w:rPr>
                      <w:color w:val="000000"/>
                      <w:sz w:val="16"/>
                      <w:szCs w:val="16"/>
                    </w:rPr>
                    <w:t>74,757,844</w:t>
                  </w:r>
                </w:p>
              </w:tc>
              <w:tc>
                <w:tcPr>
                  <w:tcW w:w="709" w:type="dxa"/>
                  <w:tcBorders>
                    <w:top w:val="nil"/>
                    <w:left w:val="nil"/>
                    <w:bottom w:val="single" w:sz="4" w:space="0" w:color="auto"/>
                    <w:right w:val="single" w:sz="4" w:space="0" w:color="auto"/>
                  </w:tcBorders>
                  <w:shd w:val="clear" w:color="auto" w:fill="auto"/>
                  <w:noWrap/>
                  <w:vAlign w:val="bottom"/>
                  <w:hideMark/>
                </w:tcPr>
                <w:p w14:paraId="336AF072" w14:textId="77777777" w:rsidR="001244E4" w:rsidRPr="009D4714" w:rsidRDefault="001244E4" w:rsidP="001244E4">
                  <w:pPr>
                    <w:jc w:val="center"/>
                    <w:rPr>
                      <w:color w:val="000000"/>
                      <w:sz w:val="16"/>
                      <w:szCs w:val="16"/>
                    </w:rPr>
                  </w:pPr>
                  <w:r w:rsidRPr="009D4714">
                    <w:rPr>
                      <w:color w:val="000000"/>
                      <w:sz w:val="16"/>
                      <w:szCs w:val="16"/>
                    </w:rPr>
                    <w:t>7,266,326</w:t>
                  </w:r>
                </w:p>
              </w:tc>
            </w:tr>
            <w:tr w:rsidR="00D21803" w:rsidRPr="009D4714" w14:paraId="7C217863" w14:textId="77777777" w:rsidTr="00D21803">
              <w:trPr>
                <w:trHeight w:val="30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44A8BF8D" w14:textId="77777777" w:rsidR="001244E4" w:rsidRPr="009D4714" w:rsidRDefault="001244E4" w:rsidP="001244E4">
                  <w:pPr>
                    <w:rPr>
                      <w:color w:val="000000"/>
                      <w:sz w:val="16"/>
                      <w:szCs w:val="16"/>
                    </w:rPr>
                  </w:pPr>
                  <w:r w:rsidRPr="009D4714">
                    <w:rPr>
                      <w:color w:val="000000"/>
                      <w:sz w:val="16"/>
                      <w:szCs w:val="16"/>
                    </w:rPr>
                    <w:t>Rezultat per sistem  („-” cost; „+” venit)</w:t>
                  </w:r>
                </w:p>
              </w:tc>
              <w:tc>
                <w:tcPr>
                  <w:tcW w:w="1115" w:type="dxa"/>
                  <w:tcBorders>
                    <w:top w:val="nil"/>
                    <w:left w:val="nil"/>
                    <w:bottom w:val="single" w:sz="4" w:space="0" w:color="auto"/>
                    <w:right w:val="single" w:sz="4" w:space="0" w:color="auto"/>
                  </w:tcBorders>
                  <w:shd w:val="clear" w:color="auto" w:fill="auto"/>
                  <w:noWrap/>
                  <w:vAlign w:val="bottom"/>
                  <w:hideMark/>
                </w:tcPr>
                <w:p w14:paraId="18C94E2E" w14:textId="77777777" w:rsidR="001244E4" w:rsidRPr="009D4714" w:rsidRDefault="001244E4" w:rsidP="001244E4">
                  <w:pPr>
                    <w:jc w:val="center"/>
                    <w:rPr>
                      <w:b/>
                      <w:bCs/>
                      <w:color w:val="000000"/>
                      <w:sz w:val="16"/>
                      <w:szCs w:val="16"/>
                    </w:rPr>
                  </w:pPr>
                  <w:r w:rsidRPr="009D4714">
                    <w:rPr>
                      <w:b/>
                      <w:bCs/>
                      <w:color w:val="000000"/>
                      <w:sz w:val="16"/>
                      <w:szCs w:val="16"/>
                    </w:rPr>
                    <w:t>54,834,988</w:t>
                  </w:r>
                </w:p>
              </w:tc>
              <w:tc>
                <w:tcPr>
                  <w:tcW w:w="992" w:type="dxa"/>
                  <w:tcBorders>
                    <w:top w:val="nil"/>
                    <w:left w:val="nil"/>
                    <w:bottom w:val="single" w:sz="4" w:space="0" w:color="auto"/>
                    <w:right w:val="single" w:sz="4" w:space="0" w:color="auto"/>
                  </w:tcBorders>
                  <w:shd w:val="clear" w:color="auto" w:fill="auto"/>
                  <w:noWrap/>
                  <w:vAlign w:val="bottom"/>
                  <w:hideMark/>
                </w:tcPr>
                <w:p w14:paraId="7DC8F8E6" w14:textId="77777777" w:rsidR="001244E4" w:rsidRPr="009D4714" w:rsidRDefault="001244E4" w:rsidP="001244E4">
                  <w:pPr>
                    <w:jc w:val="center"/>
                    <w:rPr>
                      <w:b/>
                      <w:bCs/>
                      <w:color w:val="000000"/>
                      <w:sz w:val="16"/>
                      <w:szCs w:val="16"/>
                    </w:rPr>
                  </w:pPr>
                  <w:r w:rsidRPr="009D4714">
                    <w:rPr>
                      <w:b/>
                      <w:bCs/>
                      <w:color w:val="000000"/>
                      <w:sz w:val="16"/>
                      <w:szCs w:val="16"/>
                    </w:rPr>
                    <w:t>112,953,511</w:t>
                  </w:r>
                </w:p>
              </w:tc>
              <w:tc>
                <w:tcPr>
                  <w:tcW w:w="992" w:type="dxa"/>
                  <w:tcBorders>
                    <w:top w:val="nil"/>
                    <w:left w:val="nil"/>
                    <w:bottom w:val="single" w:sz="4" w:space="0" w:color="auto"/>
                    <w:right w:val="single" w:sz="4" w:space="0" w:color="auto"/>
                  </w:tcBorders>
                  <w:shd w:val="clear" w:color="auto" w:fill="auto"/>
                  <w:noWrap/>
                  <w:vAlign w:val="bottom"/>
                  <w:hideMark/>
                </w:tcPr>
                <w:p w14:paraId="2201869E" w14:textId="77777777" w:rsidR="001244E4" w:rsidRPr="009D4714" w:rsidRDefault="001244E4" w:rsidP="001244E4">
                  <w:pPr>
                    <w:jc w:val="center"/>
                    <w:rPr>
                      <w:b/>
                      <w:bCs/>
                      <w:color w:val="000000"/>
                      <w:sz w:val="16"/>
                      <w:szCs w:val="16"/>
                    </w:rPr>
                  </w:pPr>
                  <w:r w:rsidRPr="009D4714">
                    <w:rPr>
                      <w:b/>
                      <w:bCs/>
                      <w:color w:val="000000"/>
                      <w:sz w:val="16"/>
                      <w:szCs w:val="16"/>
                    </w:rPr>
                    <w:t>102,066,338</w:t>
                  </w:r>
                </w:p>
              </w:tc>
              <w:tc>
                <w:tcPr>
                  <w:tcW w:w="1134" w:type="dxa"/>
                  <w:tcBorders>
                    <w:top w:val="nil"/>
                    <w:left w:val="nil"/>
                    <w:bottom w:val="single" w:sz="4" w:space="0" w:color="auto"/>
                    <w:right w:val="single" w:sz="4" w:space="0" w:color="auto"/>
                  </w:tcBorders>
                  <w:shd w:val="clear" w:color="auto" w:fill="auto"/>
                  <w:noWrap/>
                  <w:vAlign w:val="bottom"/>
                  <w:hideMark/>
                </w:tcPr>
                <w:p w14:paraId="2F962701" w14:textId="77777777" w:rsidR="001244E4" w:rsidRPr="009D4714" w:rsidRDefault="001244E4" w:rsidP="001244E4">
                  <w:pPr>
                    <w:jc w:val="center"/>
                    <w:rPr>
                      <w:b/>
                      <w:bCs/>
                      <w:color w:val="000000"/>
                      <w:sz w:val="16"/>
                      <w:szCs w:val="16"/>
                    </w:rPr>
                  </w:pPr>
                  <w:r w:rsidRPr="009D4714">
                    <w:rPr>
                      <w:b/>
                      <w:bCs/>
                      <w:color w:val="000000"/>
                      <w:sz w:val="16"/>
                      <w:szCs w:val="16"/>
                    </w:rPr>
                    <w:t>115,964,609</w:t>
                  </w:r>
                </w:p>
              </w:tc>
              <w:tc>
                <w:tcPr>
                  <w:tcW w:w="992" w:type="dxa"/>
                  <w:tcBorders>
                    <w:top w:val="nil"/>
                    <w:left w:val="nil"/>
                    <w:bottom w:val="single" w:sz="4" w:space="0" w:color="auto"/>
                    <w:right w:val="single" w:sz="4" w:space="0" w:color="auto"/>
                  </w:tcBorders>
                  <w:shd w:val="clear" w:color="auto" w:fill="auto"/>
                  <w:noWrap/>
                  <w:vAlign w:val="bottom"/>
                  <w:hideMark/>
                </w:tcPr>
                <w:p w14:paraId="2E630F68" w14:textId="77777777" w:rsidR="001244E4" w:rsidRPr="009D4714" w:rsidRDefault="001244E4" w:rsidP="001244E4">
                  <w:pPr>
                    <w:jc w:val="center"/>
                    <w:rPr>
                      <w:b/>
                      <w:bCs/>
                      <w:color w:val="000000"/>
                      <w:sz w:val="16"/>
                      <w:szCs w:val="16"/>
                    </w:rPr>
                  </w:pPr>
                  <w:r w:rsidRPr="009D4714">
                    <w:rPr>
                      <w:b/>
                      <w:bCs/>
                      <w:color w:val="000000"/>
                      <w:sz w:val="16"/>
                      <w:szCs w:val="16"/>
                    </w:rPr>
                    <w:t>69,881,022</w:t>
                  </w:r>
                </w:p>
              </w:tc>
              <w:tc>
                <w:tcPr>
                  <w:tcW w:w="1134" w:type="dxa"/>
                  <w:tcBorders>
                    <w:top w:val="nil"/>
                    <w:left w:val="nil"/>
                    <w:bottom w:val="single" w:sz="4" w:space="0" w:color="auto"/>
                    <w:right w:val="single" w:sz="4" w:space="0" w:color="auto"/>
                  </w:tcBorders>
                  <w:shd w:val="clear" w:color="auto" w:fill="auto"/>
                  <w:noWrap/>
                  <w:vAlign w:val="bottom"/>
                  <w:hideMark/>
                </w:tcPr>
                <w:p w14:paraId="2952CB8B" w14:textId="77777777" w:rsidR="001244E4" w:rsidRPr="009D4714" w:rsidRDefault="001244E4" w:rsidP="001244E4">
                  <w:pPr>
                    <w:jc w:val="center"/>
                    <w:rPr>
                      <w:b/>
                      <w:bCs/>
                      <w:color w:val="000000"/>
                      <w:sz w:val="16"/>
                      <w:szCs w:val="16"/>
                    </w:rPr>
                  </w:pPr>
                  <w:r w:rsidRPr="009D4714">
                    <w:rPr>
                      <w:b/>
                      <w:bCs/>
                      <w:color w:val="000000"/>
                      <w:sz w:val="16"/>
                      <w:szCs w:val="16"/>
                    </w:rPr>
                    <w:t>-126,785,135</w:t>
                  </w:r>
                </w:p>
              </w:tc>
              <w:tc>
                <w:tcPr>
                  <w:tcW w:w="709" w:type="dxa"/>
                  <w:tcBorders>
                    <w:top w:val="nil"/>
                    <w:left w:val="nil"/>
                    <w:bottom w:val="single" w:sz="4" w:space="0" w:color="auto"/>
                    <w:right w:val="single" w:sz="4" w:space="0" w:color="auto"/>
                  </w:tcBorders>
                  <w:shd w:val="clear" w:color="auto" w:fill="auto"/>
                  <w:noWrap/>
                  <w:vAlign w:val="bottom"/>
                  <w:hideMark/>
                </w:tcPr>
                <w:p w14:paraId="68576744" w14:textId="77777777" w:rsidR="001244E4" w:rsidRPr="009D4714" w:rsidRDefault="001244E4" w:rsidP="001244E4">
                  <w:pPr>
                    <w:jc w:val="center"/>
                    <w:rPr>
                      <w:b/>
                      <w:bCs/>
                      <w:color w:val="000000"/>
                      <w:sz w:val="16"/>
                      <w:szCs w:val="16"/>
                    </w:rPr>
                  </w:pPr>
                  <w:r w:rsidRPr="009D4714">
                    <w:rPr>
                      <w:b/>
                      <w:bCs/>
                      <w:color w:val="000000"/>
                      <w:sz w:val="16"/>
                      <w:szCs w:val="16"/>
                    </w:rPr>
                    <w:t>75,539,002</w:t>
                  </w:r>
                </w:p>
              </w:tc>
            </w:tr>
          </w:tbl>
          <w:p w14:paraId="7F3EA8C3" w14:textId="17B33269" w:rsidR="001244E4" w:rsidRPr="009D4714" w:rsidRDefault="00542AA5" w:rsidP="00883400">
            <w:pPr>
              <w:pStyle w:val="a7"/>
              <w:tabs>
                <w:tab w:val="left" w:pos="0"/>
                <w:tab w:val="left" w:pos="426"/>
                <w:tab w:val="left" w:pos="709"/>
                <w:tab w:val="left" w:pos="851"/>
              </w:tabs>
              <w:spacing w:before="120"/>
              <w:ind w:left="875"/>
              <w:jc w:val="both"/>
            </w:pPr>
            <w:r w:rsidRPr="009D4714">
              <w:t>B</w:t>
            </w:r>
            <w:r w:rsidR="00D21803" w:rsidRPr="009D4714">
              <w:t>ilanțul pentru anul 2022, arată că în cazul aplicării prevederilor din RPEE</w:t>
            </w:r>
            <w:r w:rsidR="00954C69">
              <w:t>,</w:t>
            </w:r>
            <w:r w:rsidR="00D21803" w:rsidRPr="009D4714">
              <w:t xml:space="preserve"> OST urma să acumuleze suplimentar cca 404 mil. lei. De menționat aici</w:t>
            </w:r>
            <w:r w:rsidR="00F1788D">
              <w:t>,</w:t>
            </w:r>
            <w:r w:rsidR="00D21803" w:rsidRPr="009D4714">
              <w:t xml:space="preserve"> că în vederea reducerii impactului asupra participanților la piață la propunerea ANRE, Comisia pentru Situații </w:t>
            </w:r>
            <w:r w:rsidR="00D21803" w:rsidRPr="009D4714">
              <w:lastRenderedPageBreak/>
              <w:t>Excepționale prin Dispoziția nr. 68 din 10.05.2023, a aprobat pentru anul 2022 plafonarea prețului pentru dezechilibru în deficit și garantarea unui preț minim pentru de</w:t>
            </w:r>
            <w:r w:rsidR="0022073A">
              <w:t xml:space="preserve">zechilibru în excedent. </w:t>
            </w:r>
          </w:p>
          <w:p w14:paraId="313FE8DB" w14:textId="50674D8E" w:rsidR="00883400" w:rsidRPr="009D4714" w:rsidRDefault="00542AA5" w:rsidP="00542AA5">
            <w:pPr>
              <w:tabs>
                <w:tab w:val="left" w:pos="0"/>
                <w:tab w:val="left" w:pos="426"/>
                <w:tab w:val="left" w:pos="709"/>
                <w:tab w:val="left" w:pos="851"/>
              </w:tabs>
              <w:spacing w:before="120"/>
              <w:ind w:firstLine="868"/>
              <w:jc w:val="both"/>
            </w:pPr>
            <w:r w:rsidRPr="009D4714">
              <w:t>Astfel, considerând rezultatele obținute în procesul de decontare al dezechilibrelor pentru perioada precedentă este imperativă intervenția în</w:t>
            </w:r>
            <w:r w:rsidR="00905F1E">
              <w:t xml:space="preserve"> </w:t>
            </w:r>
            <w:r w:rsidRPr="009D4714">
              <w:t>RPEE, în scopul reducerii sarcinii financiare asupra participanților la p</w:t>
            </w:r>
            <w:r w:rsidR="00FB7A5E" w:rsidRPr="009D4714">
              <w:t>iața energie</w:t>
            </w:r>
            <w:r w:rsidR="008010CD">
              <w:t>i</w:t>
            </w:r>
            <w:r w:rsidR="00FB7A5E" w:rsidRPr="009D4714">
              <w:t xml:space="preserve"> electric</w:t>
            </w:r>
            <w:r w:rsidR="008010CD">
              <w:t>e</w:t>
            </w:r>
            <w:r w:rsidR="00FB7A5E" w:rsidRPr="009D4714">
              <w:t>.</w:t>
            </w:r>
            <w:r w:rsidRPr="009D4714">
              <w:t xml:space="preserve"> </w:t>
            </w:r>
          </w:p>
          <w:p w14:paraId="70EC87FB" w14:textId="0C840F4D" w:rsidR="00EB5AF8" w:rsidRPr="009D4714" w:rsidRDefault="00EB5AF8" w:rsidP="00515150">
            <w:pPr>
              <w:tabs>
                <w:tab w:val="left" w:pos="0"/>
                <w:tab w:val="left" w:pos="426"/>
                <w:tab w:val="left" w:pos="709"/>
                <w:tab w:val="left" w:pos="851"/>
              </w:tabs>
              <w:jc w:val="both"/>
              <w:rPr>
                <w:i/>
              </w:rPr>
            </w:pPr>
          </w:p>
          <w:p w14:paraId="7EC49C54" w14:textId="77777777" w:rsidR="00965CE3" w:rsidRPr="00965CE3" w:rsidRDefault="00965CE3" w:rsidP="00965CE3">
            <w:pPr>
              <w:pStyle w:val="a7"/>
              <w:numPr>
                <w:ilvl w:val="0"/>
                <w:numId w:val="24"/>
              </w:numPr>
              <w:rPr>
                <w:i/>
              </w:rPr>
            </w:pPr>
            <w:r w:rsidRPr="00965CE3">
              <w:rPr>
                <w:i/>
              </w:rPr>
              <w:t>Necesitatea revizuirii mecanismului de repartizare a veniturilor sau costurilor suplimentare înregistrate de operatorul sistemului de transport (în continuare – OST) Î.S. „Moldelectrica” în legătură cu procesul de echilibrare a sistemului electroenergetic, către părțile responsabile pentru  echilibrare (în continuare – PRE) și repartizarea echitabilă a acestora între membrii grupurilor de echilibrare;</w:t>
            </w:r>
          </w:p>
          <w:p w14:paraId="40A91B75" w14:textId="77777777" w:rsidR="00D21803" w:rsidRPr="009D4714" w:rsidRDefault="00D21803" w:rsidP="00D21803">
            <w:pPr>
              <w:pStyle w:val="a7"/>
              <w:tabs>
                <w:tab w:val="left" w:pos="0"/>
                <w:tab w:val="left" w:pos="426"/>
                <w:tab w:val="left" w:pos="709"/>
                <w:tab w:val="left" w:pos="851"/>
              </w:tabs>
              <w:ind w:left="1444"/>
              <w:jc w:val="both"/>
            </w:pPr>
          </w:p>
          <w:p w14:paraId="72F6980E" w14:textId="18D5A083" w:rsidR="0053105F" w:rsidRPr="009D4714" w:rsidRDefault="00CC22A0" w:rsidP="00B81276">
            <w:pPr>
              <w:tabs>
                <w:tab w:val="left" w:pos="0"/>
                <w:tab w:val="left" w:pos="426"/>
                <w:tab w:val="left" w:pos="709"/>
                <w:tab w:val="left" w:pos="851"/>
              </w:tabs>
              <w:ind w:firstLine="732"/>
              <w:jc w:val="both"/>
            </w:pPr>
            <w:r w:rsidRPr="009D4714">
              <w:t xml:space="preserve">Mecanismul de decontare a </w:t>
            </w:r>
            <w:r w:rsidR="0054103C" w:rsidRPr="009D4714">
              <w:t xml:space="preserve">veniturilor </w:t>
            </w:r>
            <w:r w:rsidRPr="009D4714">
              <w:t xml:space="preserve">sau </w:t>
            </w:r>
            <w:r w:rsidR="0054103C" w:rsidRPr="009D4714">
              <w:t xml:space="preserve">costurilor </w:t>
            </w:r>
            <w:r w:rsidRPr="009D4714">
              <w:t xml:space="preserve">suplimentare provenite din echilibrarea sistemului </w:t>
            </w:r>
            <w:r w:rsidR="00A7660A">
              <w:t xml:space="preserve">electroenergetic </w:t>
            </w:r>
            <w:r w:rsidRPr="009D4714">
              <w:t xml:space="preserve">este realizat la moment în conformitate cu prevederile Capitolului VIII din Titlul XII al RPEE. </w:t>
            </w:r>
          </w:p>
          <w:p w14:paraId="3B67BF93" w14:textId="19A46C5E" w:rsidR="008126E3" w:rsidRPr="009D4714" w:rsidRDefault="00CC22A0" w:rsidP="00B81276">
            <w:pPr>
              <w:tabs>
                <w:tab w:val="left" w:pos="0"/>
                <w:tab w:val="left" w:pos="426"/>
                <w:tab w:val="left" w:pos="709"/>
                <w:tab w:val="left" w:pos="851"/>
              </w:tabs>
              <w:ind w:firstLine="732"/>
              <w:jc w:val="both"/>
            </w:pPr>
            <w:r w:rsidRPr="009D4714">
              <w:t xml:space="preserve">Astfel, în redacția actuală, costurile sau veniturile suplimentare înregistrate de OST sunt repartizate PRE-urilor care și-au asumat responsabilitatea echilibrării pentru consumatorii finali de energie electrică în conformitate cu consumul total al acestora. </w:t>
            </w:r>
            <w:r w:rsidR="0053105F" w:rsidRPr="009D4714">
              <w:t>Așadar</w:t>
            </w:r>
            <w:r w:rsidRPr="009D4714">
              <w:t>, cu toate că veniturile provenite de la decontarea dezechilibrelor negative ale participaților pi</w:t>
            </w:r>
            <w:r w:rsidR="00A7660A">
              <w:t>e</w:t>
            </w:r>
            <w:r w:rsidRPr="009D4714">
              <w:t>ț</w:t>
            </w:r>
            <w:r w:rsidR="00A7660A">
              <w:t>ei energiei electrice</w:t>
            </w:r>
            <w:r w:rsidR="0053105F" w:rsidRPr="009D4714">
              <w:t>, precum și cele provenite de la activarea energiei electrice de echilibrare la reducere de putere</w:t>
            </w:r>
            <w:r w:rsidRPr="009D4714">
              <w:t xml:space="preserve"> sunt generate de toate PRE-urile (inclusiv instalații de generare, operatori de sistem), costurile sau veniturile suplimentare </w:t>
            </w:r>
            <w:r w:rsidR="0054103C" w:rsidRPr="009D4714">
              <w:t>restante</w:t>
            </w:r>
            <w:r w:rsidRPr="009D4714">
              <w:t xml:space="preserve"> la bilanțul OST după </w:t>
            </w:r>
            <w:r w:rsidR="008126E3" w:rsidRPr="009D4714">
              <w:t xml:space="preserve">realizarea tuturor obligațiilor financiare în procesul de echilibrare a sistemului </w:t>
            </w:r>
            <w:r w:rsidR="00A7660A">
              <w:t xml:space="preserve">electroenergetic </w:t>
            </w:r>
            <w:r w:rsidR="008126E3" w:rsidRPr="009D4714">
              <w:t>sunt repartizate doar furnizorilor care livrează energie electrică consumatori</w:t>
            </w:r>
            <w:r w:rsidR="00A7660A">
              <w:t>lor</w:t>
            </w:r>
            <w:r w:rsidR="008126E3" w:rsidRPr="009D4714">
              <w:t xml:space="preserve"> finali. </w:t>
            </w:r>
          </w:p>
          <w:p w14:paraId="242939A1" w14:textId="2FB7995E" w:rsidR="008126E3" w:rsidRPr="009D4714" w:rsidRDefault="008126E3" w:rsidP="00B81276">
            <w:pPr>
              <w:tabs>
                <w:tab w:val="left" w:pos="0"/>
                <w:tab w:val="left" w:pos="426"/>
                <w:tab w:val="left" w:pos="709"/>
                <w:tab w:val="left" w:pos="851"/>
              </w:tabs>
              <w:ind w:firstLine="732"/>
              <w:jc w:val="both"/>
            </w:pPr>
            <w:r w:rsidRPr="009D4714">
              <w:t xml:space="preserve">În acest fel, considerând faptul că furnizorii serviciului universal Î.C.S. „Premier Energy” S.R.L. și S.A „FEE Nord” dețin împreună o cotă de </w:t>
            </w:r>
            <w:r w:rsidRPr="00564B47">
              <w:t>cca 9</w:t>
            </w:r>
            <w:r w:rsidR="001E032A" w:rsidRPr="00564B47">
              <w:t>7</w:t>
            </w:r>
            <w:r w:rsidRPr="00564B47">
              <w:t>%</w:t>
            </w:r>
            <w:r w:rsidRPr="009D4714">
              <w:t xml:space="preserve"> din cantitatea energiei electrice furnizate consumatorilor finali din Republica Moldova, aplicarea mecanismului de decontare a veniturilor sau costurilor suplimentare poate fi considerată inechitabilă față de ceilalți participanți a</w:t>
            </w:r>
            <w:r w:rsidR="00A7660A">
              <w:t>i</w:t>
            </w:r>
            <w:r w:rsidRPr="009D4714">
              <w:t xml:space="preserve"> pi</w:t>
            </w:r>
            <w:r w:rsidR="00A7660A">
              <w:t>e</w:t>
            </w:r>
            <w:r w:rsidRPr="009D4714">
              <w:t>ț</w:t>
            </w:r>
            <w:r w:rsidR="00A7660A">
              <w:t>ei</w:t>
            </w:r>
            <w:r w:rsidRPr="009D4714">
              <w:t xml:space="preserve"> energiei electrice care au contribuit la formarea fie a costului, fie a venitului suplimentar înregistrat de OST pe parcursul lunii respective de </w:t>
            </w:r>
            <w:r w:rsidR="00A7660A">
              <w:t>gestiune</w:t>
            </w:r>
            <w:r w:rsidRPr="009D4714">
              <w:t xml:space="preserve">. </w:t>
            </w:r>
          </w:p>
          <w:p w14:paraId="3B74890B" w14:textId="4AC26D32" w:rsidR="00542AA5" w:rsidRPr="009D4714" w:rsidRDefault="008126E3" w:rsidP="00B81276">
            <w:pPr>
              <w:tabs>
                <w:tab w:val="left" w:pos="0"/>
                <w:tab w:val="left" w:pos="426"/>
                <w:tab w:val="left" w:pos="709"/>
                <w:tab w:val="left" w:pos="851"/>
              </w:tabs>
              <w:ind w:firstLine="732"/>
              <w:jc w:val="both"/>
            </w:pPr>
            <w:r w:rsidRPr="009D4714">
              <w:t>Astfel</w:t>
            </w:r>
            <w:r w:rsidR="005D7E57">
              <w:t>,</w:t>
            </w:r>
            <w:r w:rsidRPr="009D4714">
              <w:t xml:space="preserve"> analiza rezultatelor activității OST</w:t>
            </w:r>
            <w:r w:rsidR="005642FE" w:rsidRPr="009D4714">
              <w:t xml:space="preserve"> în calitate</w:t>
            </w:r>
            <w:r w:rsidRPr="009D4714">
              <w:t xml:space="preserve"> de responsabil al pieței energiei </w:t>
            </w:r>
            <w:r w:rsidR="00A7660A">
              <w:t xml:space="preserve">electrice </w:t>
            </w:r>
            <w:r w:rsidRPr="009D4714">
              <w:t>de echilibrare pentru primele 4 luni ale anului 2023 arată</w:t>
            </w:r>
            <w:r w:rsidR="00F1788D">
              <w:t>,</w:t>
            </w:r>
            <w:r w:rsidRPr="009D4714">
              <w:t xml:space="preserve"> că </w:t>
            </w:r>
            <w:r w:rsidR="005642FE" w:rsidRPr="009D4714">
              <w:t>se înregistrează în mediu venituri suplimentare lunare de cca</w:t>
            </w:r>
            <w:r w:rsidR="000C4DD5" w:rsidRPr="009D4714">
              <w:t xml:space="preserve"> 36,3 mil. lei, iar consider</w:t>
            </w:r>
            <w:r w:rsidR="00542AA5" w:rsidRPr="009D4714">
              <w:t xml:space="preserve">ând ponderea furnizorilor serviciului universal cca 95% din aceste venituri ar urma să fie împărțite între aceștia. </w:t>
            </w:r>
          </w:p>
          <w:p w14:paraId="6DF2DE53" w14:textId="4ED312E4" w:rsidR="00542AA5" w:rsidRPr="009D4714" w:rsidRDefault="00EF1726" w:rsidP="00B81276">
            <w:pPr>
              <w:tabs>
                <w:tab w:val="left" w:pos="0"/>
                <w:tab w:val="left" w:pos="426"/>
                <w:tab w:val="left" w:pos="709"/>
                <w:tab w:val="left" w:pos="851"/>
              </w:tabs>
              <w:ind w:firstLine="732"/>
              <w:jc w:val="both"/>
            </w:pPr>
            <w:r w:rsidRPr="009D4714">
              <w:t xml:space="preserve">               </w:t>
            </w:r>
            <w:r w:rsidR="00542AA5" w:rsidRPr="005D7E57">
              <w:rPr>
                <w:b/>
              </w:rPr>
              <w:t>Tabelul 2.</w:t>
            </w:r>
            <w:r w:rsidR="00542AA5" w:rsidRPr="009D4714">
              <w:t xml:space="preserve"> </w:t>
            </w:r>
            <w:r w:rsidR="00FB7A5E" w:rsidRPr="009D4714">
              <w:t xml:space="preserve">Venitul suplimentar </w:t>
            </w:r>
            <w:r w:rsidRPr="009D4714">
              <w:t>înregistrat de OST (ianuarie-aprilie 2023)</w:t>
            </w:r>
          </w:p>
          <w:tbl>
            <w:tblPr>
              <w:tblW w:w="6040" w:type="dxa"/>
              <w:jc w:val="center"/>
              <w:tblLayout w:type="fixed"/>
              <w:tblLook w:val="04A0" w:firstRow="1" w:lastRow="0" w:firstColumn="1" w:lastColumn="0" w:noHBand="0" w:noVBand="1"/>
            </w:tblPr>
            <w:tblGrid>
              <w:gridCol w:w="4100"/>
              <w:gridCol w:w="1940"/>
            </w:tblGrid>
            <w:tr w:rsidR="00EF1726" w:rsidRPr="009D4714" w14:paraId="7FB07DCD" w14:textId="77777777" w:rsidTr="00EF1726">
              <w:trPr>
                <w:trHeight w:val="300"/>
                <w:jc w:val="center"/>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2CBB" w14:textId="77777777" w:rsidR="00EF1726" w:rsidRPr="009D4714" w:rsidRDefault="00EF1726" w:rsidP="00EF1726">
                  <w:pPr>
                    <w:jc w:val="center"/>
                    <w:rPr>
                      <w:b/>
                      <w:bCs/>
                      <w:color w:val="000000"/>
                      <w:sz w:val="22"/>
                      <w:szCs w:val="22"/>
                    </w:rPr>
                  </w:pPr>
                  <w:r w:rsidRPr="009D4714">
                    <w:rPr>
                      <w:b/>
                      <w:bCs/>
                      <w:color w:val="000000"/>
                      <w:sz w:val="22"/>
                      <w:szCs w:val="22"/>
                    </w:rPr>
                    <w:t>Luna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215F6F8" w14:textId="77777777" w:rsidR="00EF1726" w:rsidRPr="009D4714" w:rsidRDefault="00EF1726" w:rsidP="00EF1726">
                  <w:pPr>
                    <w:jc w:val="center"/>
                    <w:rPr>
                      <w:b/>
                      <w:bCs/>
                      <w:color w:val="000000"/>
                      <w:sz w:val="22"/>
                      <w:szCs w:val="22"/>
                    </w:rPr>
                  </w:pPr>
                  <w:r w:rsidRPr="009D4714">
                    <w:rPr>
                      <w:b/>
                      <w:bCs/>
                      <w:color w:val="000000"/>
                      <w:sz w:val="22"/>
                      <w:szCs w:val="22"/>
                    </w:rPr>
                    <w:t>Venit suplimentar</w:t>
                  </w:r>
                </w:p>
              </w:tc>
            </w:tr>
            <w:tr w:rsidR="00EF1726" w:rsidRPr="009D4714" w14:paraId="58092870"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30D72F63" w14:textId="77777777" w:rsidR="00EF1726" w:rsidRPr="009D4714" w:rsidRDefault="00EF1726" w:rsidP="00EF1726">
                  <w:pPr>
                    <w:ind w:firstLineChars="200" w:firstLine="440"/>
                    <w:rPr>
                      <w:color w:val="000000"/>
                      <w:sz w:val="22"/>
                      <w:szCs w:val="22"/>
                    </w:rPr>
                  </w:pPr>
                  <w:r w:rsidRPr="009D4714">
                    <w:rPr>
                      <w:color w:val="000000"/>
                      <w:sz w:val="22"/>
                      <w:szCs w:val="22"/>
                    </w:rPr>
                    <w:t>Ianuarie</w:t>
                  </w:r>
                </w:p>
              </w:tc>
              <w:tc>
                <w:tcPr>
                  <w:tcW w:w="1940" w:type="dxa"/>
                  <w:tcBorders>
                    <w:top w:val="nil"/>
                    <w:left w:val="nil"/>
                    <w:bottom w:val="single" w:sz="4" w:space="0" w:color="auto"/>
                    <w:right w:val="single" w:sz="4" w:space="0" w:color="auto"/>
                  </w:tcBorders>
                  <w:shd w:val="clear" w:color="auto" w:fill="auto"/>
                  <w:noWrap/>
                  <w:vAlign w:val="bottom"/>
                  <w:hideMark/>
                </w:tcPr>
                <w:p w14:paraId="4A41C401" w14:textId="77777777" w:rsidR="00EF1726" w:rsidRPr="009D4714" w:rsidRDefault="00EF1726" w:rsidP="00EF1726">
                  <w:pPr>
                    <w:jc w:val="center"/>
                    <w:rPr>
                      <w:color w:val="000000"/>
                      <w:sz w:val="22"/>
                      <w:szCs w:val="22"/>
                    </w:rPr>
                  </w:pPr>
                  <w:r w:rsidRPr="009D4714">
                    <w:rPr>
                      <w:color w:val="000000"/>
                      <w:sz w:val="22"/>
                      <w:szCs w:val="22"/>
                    </w:rPr>
                    <w:t>36.4</w:t>
                  </w:r>
                </w:p>
              </w:tc>
            </w:tr>
            <w:tr w:rsidR="00EF1726" w:rsidRPr="009D4714" w14:paraId="3032B0C8"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726134DD" w14:textId="77777777" w:rsidR="00EF1726" w:rsidRPr="009D4714" w:rsidRDefault="00EF1726" w:rsidP="00EF1726">
                  <w:pPr>
                    <w:ind w:firstLineChars="200" w:firstLine="440"/>
                    <w:rPr>
                      <w:color w:val="000000"/>
                      <w:sz w:val="22"/>
                      <w:szCs w:val="22"/>
                    </w:rPr>
                  </w:pPr>
                  <w:r w:rsidRPr="009D4714">
                    <w:rPr>
                      <w:color w:val="000000"/>
                      <w:sz w:val="22"/>
                      <w:szCs w:val="22"/>
                    </w:rPr>
                    <w:t>Februarie</w:t>
                  </w:r>
                </w:p>
              </w:tc>
              <w:tc>
                <w:tcPr>
                  <w:tcW w:w="1940" w:type="dxa"/>
                  <w:tcBorders>
                    <w:top w:val="nil"/>
                    <w:left w:val="nil"/>
                    <w:bottom w:val="single" w:sz="4" w:space="0" w:color="auto"/>
                    <w:right w:val="single" w:sz="4" w:space="0" w:color="auto"/>
                  </w:tcBorders>
                  <w:shd w:val="clear" w:color="auto" w:fill="auto"/>
                  <w:noWrap/>
                  <w:vAlign w:val="bottom"/>
                  <w:hideMark/>
                </w:tcPr>
                <w:p w14:paraId="1635FCDF" w14:textId="77777777" w:rsidR="00EF1726" w:rsidRPr="009D4714" w:rsidRDefault="00EF1726" w:rsidP="00EF1726">
                  <w:pPr>
                    <w:jc w:val="center"/>
                    <w:rPr>
                      <w:color w:val="000000"/>
                      <w:sz w:val="22"/>
                      <w:szCs w:val="22"/>
                    </w:rPr>
                  </w:pPr>
                  <w:r w:rsidRPr="009D4714">
                    <w:rPr>
                      <w:color w:val="000000"/>
                      <w:sz w:val="22"/>
                      <w:szCs w:val="22"/>
                    </w:rPr>
                    <w:t>31.8</w:t>
                  </w:r>
                </w:p>
              </w:tc>
            </w:tr>
            <w:tr w:rsidR="00EF1726" w:rsidRPr="009D4714" w14:paraId="526D8913"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23B4C438" w14:textId="77777777" w:rsidR="00EF1726" w:rsidRPr="009D4714" w:rsidRDefault="00EF1726" w:rsidP="00EF1726">
                  <w:pPr>
                    <w:ind w:firstLineChars="200" w:firstLine="440"/>
                    <w:rPr>
                      <w:color w:val="000000"/>
                      <w:sz w:val="22"/>
                      <w:szCs w:val="22"/>
                    </w:rPr>
                  </w:pPr>
                  <w:r w:rsidRPr="009D4714">
                    <w:rPr>
                      <w:color w:val="000000"/>
                      <w:sz w:val="22"/>
                      <w:szCs w:val="22"/>
                    </w:rPr>
                    <w:t xml:space="preserve">Martie </w:t>
                  </w:r>
                </w:p>
              </w:tc>
              <w:tc>
                <w:tcPr>
                  <w:tcW w:w="1940" w:type="dxa"/>
                  <w:tcBorders>
                    <w:top w:val="nil"/>
                    <w:left w:val="nil"/>
                    <w:bottom w:val="single" w:sz="4" w:space="0" w:color="auto"/>
                    <w:right w:val="single" w:sz="4" w:space="0" w:color="auto"/>
                  </w:tcBorders>
                  <w:shd w:val="clear" w:color="auto" w:fill="auto"/>
                  <w:noWrap/>
                  <w:vAlign w:val="bottom"/>
                  <w:hideMark/>
                </w:tcPr>
                <w:p w14:paraId="68D870D5" w14:textId="77777777" w:rsidR="00EF1726" w:rsidRPr="009D4714" w:rsidRDefault="00EF1726" w:rsidP="00EF1726">
                  <w:pPr>
                    <w:jc w:val="center"/>
                    <w:rPr>
                      <w:color w:val="000000"/>
                      <w:sz w:val="22"/>
                      <w:szCs w:val="22"/>
                    </w:rPr>
                  </w:pPr>
                  <w:r w:rsidRPr="009D4714">
                    <w:rPr>
                      <w:color w:val="000000"/>
                      <w:sz w:val="22"/>
                      <w:szCs w:val="22"/>
                    </w:rPr>
                    <w:t>38</w:t>
                  </w:r>
                </w:p>
              </w:tc>
            </w:tr>
            <w:tr w:rsidR="00EF1726" w:rsidRPr="009D4714" w14:paraId="1D0B4B6E"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4F3074BE" w14:textId="77777777" w:rsidR="00EF1726" w:rsidRPr="009D4714" w:rsidRDefault="00EF1726" w:rsidP="00EF1726">
                  <w:pPr>
                    <w:ind w:firstLineChars="200" w:firstLine="440"/>
                    <w:rPr>
                      <w:color w:val="000000"/>
                      <w:sz w:val="22"/>
                      <w:szCs w:val="22"/>
                    </w:rPr>
                  </w:pPr>
                  <w:r w:rsidRPr="009D4714">
                    <w:rPr>
                      <w:color w:val="000000"/>
                      <w:sz w:val="22"/>
                      <w:szCs w:val="22"/>
                    </w:rPr>
                    <w:t>Aprilie</w:t>
                  </w:r>
                </w:p>
              </w:tc>
              <w:tc>
                <w:tcPr>
                  <w:tcW w:w="1940" w:type="dxa"/>
                  <w:tcBorders>
                    <w:top w:val="nil"/>
                    <w:left w:val="nil"/>
                    <w:bottom w:val="single" w:sz="4" w:space="0" w:color="auto"/>
                    <w:right w:val="single" w:sz="4" w:space="0" w:color="auto"/>
                  </w:tcBorders>
                  <w:shd w:val="clear" w:color="auto" w:fill="auto"/>
                  <w:noWrap/>
                  <w:vAlign w:val="bottom"/>
                  <w:hideMark/>
                </w:tcPr>
                <w:p w14:paraId="10FB8ADF" w14:textId="77777777" w:rsidR="00EF1726" w:rsidRPr="009D4714" w:rsidRDefault="00EF1726" w:rsidP="00EF1726">
                  <w:pPr>
                    <w:jc w:val="center"/>
                    <w:rPr>
                      <w:color w:val="000000"/>
                      <w:sz w:val="22"/>
                      <w:szCs w:val="22"/>
                    </w:rPr>
                  </w:pPr>
                  <w:r w:rsidRPr="009D4714">
                    <w:rPr>
                      <w:color w:val="000000"/>
                      <w:sz w:val="22"/>
                      <w:szCs w:val="22"/>
                    </w:rPr>
                    <w:t>39.1</w:t>
                  </w:r>
                </w:p>
              </w:tc>
            </w:tr>
            <w:tr w:rsidR="00EF1726" w:rsidRPr="009D4714" w14:paraId="1653E3A6"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55597A33" w14:textId="77777777" w:rsidR="00EF1726" w:rsidRPr="009D4714" w:rsidRDefault="00EF1726" w:rsidP="00EF1726">
                  <w:pPr>
                    <w:ind w:firstLineChars="200" w:firstLine="440"/>
                    <w:rPr>
                      <w:color w:val="000000"/>
                      <w:sz w:val="22"/>
                      <w:szCs w:val="22"/>
                    </w:rPr>
                  </w:pPr>
                  <w:r w:rsidRPr="009D4714">
                    <w:rPr>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14:paraId="64B1DC0E" w14:textId="77777777" w:rsidR="00EF1726" w:rsidRPr="009D4714" w:rsidRDefault="00EF1726" w:rsidP="00EF1726">
                  <w:pPr>
                    <w:jc w:val="center"/>
                    <w:rPr>
                      <w:color w:val="000000"/>
                      <w:sz w:val="22"/>
                      <w:szCs w:val="22"/>
                    </w:rPr>
                  </w:pPr>
                  <w:r w:rsidRPr="009D4714">
                    <w:rPr>
                      <w:color w:val="000000"/>
                      <w:sz w:val="22"/>
                      <w:szCs w:val="22"/>
                    </w:rPr>
                    <w:t> </w:t>
                  </w:r>
                </w:p>
              </w:tc>
            </w:tr>
            <w:tr w:rsidR="00EF1726" w:rsidRPr="009D4714" w14:paraId="75187B00" w14:textId="77777777" w:rsidTr="00EF1726">
              <w:trPr>
                <w:trHeight w:val="300"/>
                <w:jc w:val="center"/>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2B5113A0" w14:textId="77777777" w:rsidR="00EF1726" w:rsidRPr="009D4714" w:rsidRDefault="00EF1726" w:rsidP="00EF1726">
                  <w:pPr>
                    <w:ind w:firstLineChars="200" w:firstLine="440"/>
                    <w:rPr>
                      <w:b/>
                      <w:bCs/>
                      <w:color w:val="000000"/>
                      <w:sz w:val="22"/>
                      <w:szCs w:val="22"/>
                    </w:rPr>
                  </w:pPr>
                  <w:r w:rsidRPr="009D4714">
                    <w:rPr>
                      <w:b/>
                      <w:bCs/>
                      <w:color w:val="000000"/>
                      <w:sz w:val="22"/>
                      <w:szCs w:val="22"/>
                    </w:rPr>
                    <w:t xml:space="preserve">Mediu lunar </w:t>
                  </w:r>
                </w:p>
              </w:tc>
              <w:tc>
                <w:tcPr>
                  <w:tcW w:w="1940" w:type="dxa"/>
                  <w:tcBorders>
                    <w:top w:val="nil"/>
                    <w:left w:val="nil"/>
                    <w:bottom w:val="single" w:sz="4" w:space="0" w:color="auto"/>
                    <w:right w:val="single" w:sz="4" w:space="0" w:color="auto"/>
                  </w:tcBorders>
                  <w:shd w:val="clear" w:color="auto" w:fill="auto"/>
                  <w:noWrap/>
                  <w:vAlign w:val="bottom"/>
                  <w:hideMark/>
                </w:tcPr>
                <w:p w14:paraId="606A9D11" w14:textId="77777777" w:rsidR="00EF1726" w:rsidRPr="009D4714" w:rsidRDefault="00EF1726" w:rsidP="00EF1726">
                  <w:pPr>
                    <w:jc w:val="center"/>
                    <w:rPr>
                      <w:b/>
                      <w:bCs/>
                      <w:color w:val="000000"/>
                      <w:sz w:val="22"/>
                      <w:szCs w:val="22"/>
                    </w:rPr>
                  </w:pPr>
                  <w:r w:rsidRPr="009D4714">
                    <w:rPr>
                      <w:b/>
                      <w:bCs/>
                      <w:color w:val="000000"/>
                      <w:sz w:val="22"/>
                      <w:szCs w:val="22"/>
                    </w:rPr>
                    <w:t>36.3</w:t>
                  </w:r>
                </w:p>
              </w:tc>
            </w:tr>
          </w:tbl>
          <w:p w14:paraId="5C53EA8B" w14:textId="77777777" w:rsidR="00EF1726" w:rsidRPr="009D4714" w:rsidRDefault="00EF1726" w:rsidP="00B81276">
            <w:pPr>
              <w:tabs>
                <w:tab w:val="left" w:pos="0"/>
                <w:tab w:val="left" w:pos="426"/>
                <w:tab w:val="left" w:pos="709"/>
                <w:tab w:val="left" w:pos="851"/>
              </w:tabs>
              <w:ind w:firstLine="732"/>
              <w:jc w:val="both"/>
            </w:pPr>
          </w:p>
          <w:p w14:paraId="0EDABB55" w14:textId="7C1FB1AD" w:rsidR="0053105F" w:rsidRPr="009D4714" w:rsidRDefault="00EF1726" w:rsidP="00B81276">
            <w:pPr>
              <w:tabs>
                <w:tab w:val="left" w:pos="0"/>
                <w:tab w:val="left" w:pos="426"/>
                <w:tab w:val="left" w:pos="709"/>
                <w:tab w:val="left" w:pos="851"/>
              </w:tabs>
              <w:ind w:firstLine="732"/>
              <w:jc w:val="both"/>
            </w:pPr>
            <w:r w:rsidRPr="005D7E57">
              <w:rPr>
                <w:b/>
              </w:rPr>
              <w:t>Tabelul 3.</w:t>
            </w:r>
            <w:r w:rsidRPr="009D4714">
              <w:t xml:space="preserve"> </w:t>
            </w:r>
            <w:r w:rsidR="0053105F" w:rsidRPr="009D4714">
              <w:t>Rezultatul repartizării veniturilor suplimentare înregistrate de OST în lunile ianuarie – aprilie 2023</w:t>
            </w:r>
          </w:p>
          <w:tbl>
            <w:tblPr>
              <w:tblW w:w="8943" w:type="dxa"/>
              <w:jc w:val="center"/>
              <w:tblLayout w:type="fixed"/>
              <w:tblLook w:val="04A0" w:firstRow="1" w:lastRow="0" w:firstColumn="1" w:lastColumn="0" w:noHBand="0" w:noVBand="1"/>
            </w:tblPr>
            <w:tblGrid>
              <w:gridCol w:w="3273"/>
              <w:gridCol w:w="1701"/>
              <w:gridCol w:w="1417"/>
              <w:gridCol w:w="1276"/>
              <w:gridCol w:w="1276"/>
            </w:tblGrid>
            <w:tr w:rsidR="00EF1726" w:rsidRPr="009D4714" w14:paraId="4FEFA96F" w14:textId="77777777" w:rsidTr="002D36BA">
              <w:trPr>
                <w:trHeight w:val="300"/>
                <w:jc w:val="center"/>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AAC35" w14:textId="115304F4" w:rsidR="00EF1726" w:rsidRPr="009D4714" w:rsidRDefault="0053105F" w:rsidP="00EF1726">
                  <w:pPr>
                    <w:jc w:val="center"/>
                    <w:rPr>
                      <w:b/>
                      <w:bCs/>
                      <w:color w:val="000000"/>
                      <w:sz w:val="22"/>
                      <w:szCs w:val="22"/>
                    </w:rPr>
                  </w:pPr>
                  <w:r w:rsidRPr="009D4714">
                    <w:t xml:space="preserve"> </w:t>
                  </w:r>
                  <w:r w:rsidR="00542AA5" w:rsidRPr="009D4714">
                    <w:t xml:space="preserve">  </w:t>
                  </w:r>
                  <w:r w:rsidR="005642FE" w:rsidRPr="009D4714">
                    <w:t xml:space="preserve"> </w:t>
                  </w:r>
                  <w:r w:rsidR="008126E3" w:rsidRPr="009D4714">
                    <w:t xml:space="preserve">  </w:t>
                  </w:r>
                  <w:r w:rsidR="00CC22A0" w:rsidRPr="009D4714">
                    <w:t xml:space="preserve"> </w:t>
                  </w:r>
                  <w:r w:rsidR="00EF1726" w:rsidRPr="009D4714">
                    <w:rPr>
                      <w:b/>
                      <w:bCs/>
                      <w:color w:val="000000"/>
                      <w:sz w:val="22"/>
                      <w:szCs w:val="22"/>
                    </w:rPr>
                    <w:t>Entitate</w:t>
                  </w:r>
                </w:p>
              </w:tc>
              <w:tc>
                <w:tcPr>
                  <w:tcW w:w="56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4D3B7C" w14:textId="77777777" w:rsidR="00EF1726" w:rsidRPr="009D4714" w:rsidRDefault="00EF1726" w:rsidP="00EF1726">
                  <w:pPr>
                    <w:jc w:val="center"/>
                    <w:rPr>
                      <w:b/>
                      <w:bCs/>
                      <w:color w:val="000000"/>
                      <w:sz w:val="22"/>
                      <w:szCs w:val="22"/>
                    </w:rPr>
                  </w:pPr>
                  <w:r w:rsidRPr="009D4714">
                    <w:rPr>
                      <w:b/>
                      <w:bCs/>
                      <w:color w:val="000000"/>
                      <w:sz w:val="22"/>
                      <w:szCs w:val="22"/>
                    </w:rPr>
                    <w:t>Venit suplimentar repartizat, mil. lei</w:t>
                  </w:r>
                </w:p>
              </w:tc>
            </w:tr>
            <w:tr w:rsidR="00EF1726" w:rsidRPr="009D4714" w14:paraId="7CB9B74A" w14:textId="77777777" w:rsidTr="002D36BA">
              <w:trPr>
                <w:trHeight w:val="300"/>
                <w:jc w:val="center"/>
              </w:trPr>
              <w:tc>
                <w:tcPr>
                  <w:tcW w:w="3273" w:type="dxa"/>
                  <w:vMerge/>
                  <w:tcBorders>
                    <w:top w:val="single" w:sz="4" w:space="0" w:color="auto"/>
                    <w:left w:val="single" w:sz="4" w:space="0" w:color="auto"/>
                    <w:bottom w:val="single" w:sz="4" w:space="0" w:color="auto"/>
                    <w:right w:val="single" w:sz="4" w:space="0" w:color="auto"/>
                  </w:tcBorders>
                  <w:vAlign w:val="center"/>
                  <w:hideMark/>
                </w:tcPr>
                <w:p w14:paraId="3843F9AA" w14:textId="77777777" w:rsidR="00EF1726" w:rsidRPr="009D4714" w:rsidRDefault="00EF1726" w:rsidP="00EF1726">
                  <w:pPr>
                    <w:rPr>
                      <w:b/>
                      <w:bCs/>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22CDCFA4" w14:textId="77777777" w:rsidR="00EF1726" w:rsidRPr="009D4714" w:rsidRDefault="00EF1726" w:rsidP="00EF1726">
                  <w:pPr>
                    <w:jc w:val="center"/>
                    <w:rPr>
                      <w:b/>
                      <w:bCs/>
                      <w:color w:val="000000"/>
                      <w:sz w:val="22"/>
                      <w:szCs w:val="22"/>
                    </w:rPr>
                  </w:pPr>
                  <w:r w:rsidRPr="009D4714">
                    <w:rPr>
                      <w:b/>
                      <w:bCs/>
                      <w:color w:val="000000"/>
                      <w:sz w:val="22"/>
                      <w:szCs w:val="22"/>
                    </w:rPr>
                    <w:t>Ianuarie</w:t>
                  </w:r>
                </w:p>
              </w:tc>
              <w:tc>
                <w:tcPr>
                  <w:tcW w:w="1417" w:type="dxa"/>
                  <w:tcBorders>
                    <w:top w:val="nil"/>
                    <w:left w:val="nil"/>
                    <w:bottom w:val="single" w:sz="4" w:space="0" w:color="auto"/>
                    <w:right w:val="single" w:sz="4" w:space="0" w:color="auto"/>
                  </w:tcBorders>
                  <w:shd w:val="clear" w:color="auto" w:fill="auto"/>
                  <w:vAlign w:val="center"/>
                  <w:hideMark/>
                </w:tcPr>
                <w:p w14:paraId="4CA39B19" w14:textId="77777777" w:rsidR="00EF1726" w:rsidRPr="009D4714" w:rsidRDefault="00EF1726" w:rsidP="00EF1726">
                  <w:pPr>
                    <w:jc w:val="center"/>
                    <w:rPr>
                      <w:b/>
                      <w:bCs/>
                      <w:color w:val="000000"/>
                      <w:sz w:val="22"/>
                      <w:szCs w:val="22"/>
                    </w:rPr>
                  </w:pPr>
                  <w:r w:rsidRPr="009D4714">
                    <w:rPr>
                      <w:b/>
                      <w:bCs/>
                      <w:color w:val="000000"/>
                      <w:sz w:val="22"/>
                      <w:szCs w:val="22"/>
                    </w:rPr>
                    <w:t>Februarie</w:t>
                  </w:r>
                </w:p>
              </w:tc>
              <w:tc>
                <w:tcPr>
                  <w:tcW w:w="1276" w:type="dxa"/>
                  <w:tcBorders>
                    <w:top w:val="nil"/>
                    <w:left w:val="nil"/>
                    <w:bottom w:val="single" w:sz="4" w:space="0" w:color="auto"/>
                    <w:right w:val="single" w:sz="4" w:space="0" w:color="auto"/>
                  </w:tcBorders>
                  <w:shd w:val="clear" w:color="auto" w:fill="auto"/>
                  <w:vAlign w:val="center"/>
                  <w:hideMark/>
                </w:tcPr>
                <w:p w14:paraId="3B81E3BA" w14:textId="77777777" w:rsidR="00EF1726" w:rsidRPr="009D4714" w:rsidRDefault="00EF1726" w:rsidP="00EF1726">
                  <w:pPr>
                    <w:jc w:val="center"/>
                    <w:rPr>
                      <w:b/>
                      <w:bCs/>
                      <w:color w:val="000000"/>
                      <w:sz w:val="22"/>
                      <w:szCs w:val="22"/>
                    </w:rPr>
                  </w:pPr>
                  <w:r w:rsidRPr="009D4714">
                    <w:rPr>
                      <w:b/>
                      <w:bCs/>
                      <w:color w:val="000000"/>
                      <w:sz w:val="22"/>
                      <w:szCs w:val="22"/>
                    </w:rPr>
                    <w:t xml:space="preserve">Martie </w:t>
                  </w:r>
                </w:p>
              </w:tc>
              <w:tc>
                <w:tcPr>
                  <w:tcW w:w="1276" w:type="dxa"/>
                  <w:tcBorders>
                    <w:top w:val="nil"/>
                    <w:left w:val="nil"/>
                    <w:bottom w:val="single" w:sz="4" w:space="0" w:color="auto"/>
                    <w:right w:val="single" w:sz="4" w:space="0" w:color="auto"/>
                  </w:tcBorders>
                  <w:shd w:val="clear" w:color="auto" w:fill="auto"/>
                  <w:vAlign w:val="center"/>
                  <w:hideMark/>
                </w:tcPr>
                <w:p w14:paraId="010A21A7" w14:textId="77777777" w:rsidR="00EF1726" w:rsidRPr="009D4714" w:rsidRDefault="00EF1726" w:rsidP="00EF1726">
                  <w:pPr>
                    <w:jc w:val="center"/>
                    <w:rPr>
                      <w:b/>
                      <w:bCs/>
                      <w:color w:val="000000"/>
                      <w:sz w:val="22"/>
                      <w:szCs w:val="22"/>
                    </w:rPr>
                  </w:pPr>
                  <w:r w:rsidRPr="009D4714">
                    <w:rPr>
                      <w:b/>
                      <w:bCs/>
                      <w:color w:val="000000"/>
                      <w:sz w:val="22"/>
                      <w:szCs w:val="22"/>
                    </w:rPr>
                    <w:t>Aprilie</w:t>
                  </w:r>
                </w:p>
              </w:tc>
            </w:tr>
            <w:tr w:rsidR="00EF1726" w:rsidRPr="009D4714" w14:paraId="57345A45" w14:textId="77777777" w:rsidTr="002D36BA">
              <w:trPr>
                <w:trHeight w:val="300"/>
                <w:jc w:val="center"/>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14:paraId="7BB997DA" w14:textId="77777777" w:rsidR="00EF1726" w:rsidRPr="009D4714" w:rsidRDefault="00EF1726" w:rsidP="002D36BA">
                  <w:pPr>
                    <w:ind w:firstLineChars="100" w:firstLine="220"/>
                    <w:rPr>
                      <w:color w:val="000000"/>
                      <w:sz w:val="22"/>
                      <w:szCs w:val="22"/>
                    </w:rPr>
                  </w:pPr>
                  <w:r w:rsidRPr="009D4714">
                    <w:rPr>
                      <w:color w:val="000000"/>
                      <w:sz w:val="22"/>
                      <w:szCs w:val="22"/>
                    </w:rPr>
                    <w:lastRenderedPageBreak/>
                    <w:t>Î.C.S. „Premier Energy” S.R.L.</w:t>
                  </w:r>
                </w:p>
              </w:tc>
              <w:tc>
                <w:tcPr>
                  <w:tcW w:w="1701" w:type="dxa"/>
                  <w:tcBorders>
                    <w:top w:val="nil"/>
                    <w:left w:val="nil"/>
                    <w:bottom w:val="single" w:sz="4" w:space="0" w:color="auto"/>
                    <w:right w:val="single" w:sz="4" w:space="0" w:color="auto"/>
                  </w:tcBorders>
                  <w:shd w:val="clear" w:color="auto" w:fill="auto"/>
                  <w:noWrap/>
                  <w:vAlign w:val="bottom"/>
                  <w:hideMark/>
                </w:tcPr>
                <w:p w14:paraId="1A03893F" w14:textId="77777777" w:rsidR="00EF1726" w:rsidRPr="009D4714" w:rsidRDefault="00EF1726" w:rsidP="00EF1726">
                  <w:pPr>
                    <w:jc w:val="center"/>
                    <w:rPr>
                      <w:color w:val="000000"/>
                      <w:sz w:val="22"/>
                      <w:szCs w:val="22"/>
                    </w:rPr>
                  </w:pPr>
                  <w:r w:rsidRPr="009D4714">
                    <w:rPr>
                      <w:color w:val="000000"/>
                      <w:sz w:val="22"/>
                      <w:szCs w:val="22"/>
                    </w:rPr>
                    <w:t>27.67</w:t>
                  </w:r>
                </w:p>
              </w:tc>
              <w:tc>
                <w:tcPr>
                  <w:tcW w:w="1417" w:type="dxa"/>
                  <w:tcBorders>
                    <w:top w:val="nil"/>
                    <w:left w:val="nil"/>
                    <w:bottom w:val="single" w:sz="4" w:space="0" w:color="auto"/>
                    <w:right w:val="single" w:sz="4" w:space="0" w:color="auto"/>
                  </w:tcBorders>
                  <w:shd w:val="clear" w:color="auto" w:fill="auto"/>
                  <w:noWrap/>
                  <w:vAlign w:val="bottom"/>
                  <w:hideMark/>
                </w:tcPr>
                <w:p w14:paraId="14B503E4" w14:textId="77777777" w:rsidR="00EF1726" w:rsidRPr="009D4714" w:rsidRDefault="00EF1726" w:rsidP="00EF1726">
                  <w:pPr>
                    <w:jc w:val="center"/>
                    <w:rPr>
                      <w:color w:val="000000"/>
                      <w:sz w:val="22"/>
                      <w:szCs w:val="22"/>
                    </w:rPr>
                  </w:pPr>
                  <w:r w:rsidRPr="009D4714">
                    <w:rPr>
                      <w:color w:val="000000"/>
                      <w:sz w:val="22"/>
                      <w:szCs w:val="22"/>
                    </w:rPr>
                    <w:t>23.52</w:t>
                  </w:r>
                </w:p>
              </w:tc>
              <w:tc>
                <w:tcPr>
                  <w:tcW w:w="1276" w:type="dxa"/>
                  <w:tcBorders>
                    <w:top w:val="nil"/>
                    <w:left w:val="nil"/>
                    <w:bottom w:val="single" w:sz="4" w:space="0" w:color="auto"/>
                    <w:right w:val="single" w:sz="4" w:space="0" w:color="auto"/>
                  </w:tcBorders>
                  <w:shd w:val="clear" w:color="auto" w:fill="auto"/>
                  <w:noWrap/>
                  <w:vAlign w:val="bottom"/>
                  <w:hideMark/>
                </w:tcPr>
                <w:p w14:paraId="7F62F8AC" w14:textId="4E4E3527" w:rsidR="00EF1726" w:rsidRPr="009D4714" w:rsidRDefault="00703CE0" w:rsidP="00EF1726">
                  <w:pPr>
                    <w:jc w:val="center"/>
                    <w:rPr>
                      <w:color w:val="000000"/>
                      <w:sz w:val="22"/>
                      <w:szCs w:val="22"/>
                    </w:rPr>
                  </w:pPr>
                  <w:r>
                    <w:rPr>
                      <w:color w:val="000000"/>
                      <w:sz w:val="22"/>
                      <w:szCs w:val="22"/>
                    </w:rPr>
                    <w:t>27.46</w:t>
                  </w:r>
                </w:p>
              </w:tc>
              <w:tc>
                <w:tcPr>
                  <w:tcW w:w="1276" w:type="dxa"/>
                  <w:tcBorders>
                    <w:top w:val="nil"/>
                    <w:left w:val="nil"/>
                    <w:bottom w:val="single" w:sz="4" w:space="0" w:color="auto"/>
                    <w:right w:val="single" w:sz="4" w:space="0" w:color="auto"/>
                  </w:tcBorders>
                  <w:shd w:val="clear" w:color="auto" w:fill="auto"/>
                  <w:noWrap/>
                  <w:vAlign w:val="bottom"/>
                  <w:hideMark/>
                </w:tcPr>
                <w:p w14:paraId="12EADD31" w14:textId="59A351FF" w:rsidR="00EF1726" w:rsidRPr="009D4714" w:rsidRDefault="00703CE0" w:rsidP="00EF1726">
                  <w:pPr>
                    <w:jc w:val="center"/>
                    <w:rPr>
                      <w:color w:val="000000"/>
                      <w:sz w:val="22"/>
                      <w:szCs w:val="22"/>
                    </w:rPr>
                  </w:pPr>
                  <w:r>
                    <w:rPr>
                      <w:color w:val="000000"/>
                      <w:sz w:val="22"/>
                      <w:szCs w:val="22"/>
                    </w:rPr>
                    <w:t>25</w:t>
                  </w:r>
                </w:p>
              </w:tc>
            </w:tr>
            <w:tr w:rsidR="00EF1726" w:rsidRPr="009D4714" w14:paraId="07C7FF8A" w14:textId="77777777" w:rsidTr="002D36BA">
              <w:trPr>
                <w:trHeight w:val="300"/>
                <w:jc w:val="center"/>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14:paraId="0E77EF1F" w14:textId="77777777" w:rsidR="00EF1726" w:rsidRPr="009D4714" w:rsidRDefault="00EF1726" w:rsidP="002D36BA">
                  <w:pPr>
                    <w:ind w:firstLineChars="100" w:firstLine="220"/>
                    <w:rPr>
                      <w:color w:val="000000"/>
                      <w:sz w:val="22"/>
                      <w:szCs w:val="22"/>
                    </w:rPr>
                  </w:pPr>
                  <w:r w:rsidRPr="009D4714">
                    <w:rPr>
                      <w:color w:val="000000"/>
                      <w:sz w:val="22"/>
                      <w:szCs w:val="22"/>
                    </w:rPr>
                    <w:t>S.A. „FEE Nord”</w:t>
                  </w:r>
                </w:p>
              </w:tc>
              <w:tc>
                <w:tcPr>
                  <w:tcW w:w="1701" w:type="dxa"/>
                  <w:tcBorders>
                    <w:top w:val="nil"/>
                    <w:left w:val="nil"/>
                    <w:bottom w:val="single" w:sz="4" w:space="0" w:color="auto"/>
                    <w:right w:val="single" w:sz="4" w:space="0" w:color="auto"/>
                  </w:tcBorders>
                  <w:shd w:val="clear" w:color="auto" w:fill="auto"/>
                  <w:noWrap/>
                  <w:vAlign w:val="bottom"/>
                  <w:hideMark/>
                </w:tcPr>
                <w:p w14:paraId="2A1D3AE0" w14:textId="77777777" w:rsidR="00EF1726" w:rsidRPr="009D4714" w:rsidRDefault="00EF1726" w:rsidP="00EF1726">
                  <w:pPr>
                    <w:jc w:val="center"/>
                    <w:rPr>
                      <w:color w:val="000000"/>
                      <w:sz w:val="22"/>
                      <w:szCs w:val="22"/>
                    </w:rPr>
                  </w:pPr>
                  <w:r w:rsidRPr="009D4714">
                    <w:rPr>
                      <w:color w:val="000000"/>
                      <w:sz w:val="22"/>
                      <w:szCs w:val="22"/>
                    </w:rPr>
                    <w:t>8.66</w:t>
                  </w:r>
                </w:p>
              </w:tc>
              <w:tc>
                <w:tcPr>
                  <w:tcW w:w="1417" w:type="dxa"/>
                  <w:tcBorders>
                    <w:top w:val="nil"/>
                    <w:left w:val="nil"/>
                    <w:bottom w:val="single" w:sz="4" w:space="0" w:color="auto"/>
                    <w:right w:val="single" w:sz="4" w:space="0" w:color="auto"/>
                  </w:tcBorders>
                  <w:shd w:val="clear" w:color="auto" w:fill="auto"/>
                  <w:noWrap/>
                  <w:vAlign w:val="bottom"/>
                  <w:hideMark/>
                </w:tcPr>
                <w:p w14:paraId="3E686935" w14:textId="77777777" w:rsidR="00EF1726" w:rsidRPr="009D4714" w:rsidRDefault="00EF1726" w:rsidP="00EF1726">
                  <w:pPr>
                    <w:jc w:val="center"/>
                    <w:rPr>
                      <w:color w:val="000000"/>
                      <w:sz w:val="22"/>
                      <w:szCs w:val="22"/>
                    </w:rPr>
                  </w:pPr>
                  <w:r w:rsidRPr="009D4714">
                    <w:rPr>
                      <w:color w:val="000000"/>
                      <w:sz w:val="22"/>
                      <w:szCs w:val="22"/>
                    </w:rPr>
                    <w:t>7.36</w:t>
                  </w:r>
                </w:p>
              </w:tc>
              <w:tc>
                <w:tcPr>
                  <w:tcW w:w="1276" w:type="dxa"/>
                  <w:tcBorders>
                    <w:top w:val="nil"/>
                    <w:left w:val="nil"/>
                    <w:bottom w:val="single" w:sz="4" w:space="0" w:color="auto"/>
                    <w:right w:val="single" w:sz="4" w:space="0" w:color="auto"/>
                  </w:tcBorders>
                  <w:shd w:val="clear" w:color="auto" w:fill="auto"/>
                  <w:noWrap/>
                  <w:vAlign w:val="bottom"/>
                  <w:hideMark/>
                </w:tcPr>
                <w:p w14:paraId="4698FB2F" w14:textId="286E4F0F" w:rsidR="00EF1726" w:rsidRPr="009D4714" w:rsidRDefault="00703CE0" w:rsidP="00EF1726">
                  <w:pPr>
                    <w:jc w:val="center"/>
                    <w:rPr>
                      <w:color w:val="000000"/>
                      <w:sz w:val="22"/>
                      <w:szCs w:val="22"/>
                    </w:rPr>
                  </w:pPr>
                  <w:r>
                    <w:rPr>
                      <w:color w:val="000000"/>
                      <w:sz w:val="22"/>
                      <w:szCs w:val="22"/>
                    </w:rPr>
                    <w:t>9.51</w:t>
                  </w:r>
                </w:p>
              </w:tc>
              <w:tc>
                <w:tcPr>
                  <w:tcW w:w="1276" w:type="dxa"/>
                  <w:tcBorders>
                    <w:top w:val="nil"/>
                    <w:left w:val="nil"/>
                    <w:bottom w:val="single" w:sz="4" w:space="0" w:color="auto"/>
                    <w:right w:val="single" w:sz="4" w:space="0" w:color="auto"/>
                  </w:tcBorders>
                  <w:shd w:val="clear" w:color="auto" w:fill="auto"/>
                  <w:noWrap/>
                  <w:vAlign w:val="bottom"/>
                  <w:hideMark/>
                </w:tcPr>
                <w:p w14:paraId="75E9073F" w14:textId="067F6223" w:rsidR="00EF1726" w:rsidRPr="009D4714" w:rsidRDefault="00703CE0" w:rsidP="00EF1726">
                  <w:pPr>
                    <w:jc w:val="center"/>
                    <w:rPr>
                      <w:color w:val="000000"/>
                      <w:sz w:val="22"/>
                      <w:szCs w:val="22"/>
                    </w:rPr>
                  </w:pPr>
                  <w:r>
                    <w:rPr>
                      <w:color w:val="000000"/>
                      <w:sz w:val="22"/>
                      <w:szCs w:val="22"/>
                    </w:rPr>
                    <w:t>8.09</w:t>
                  </w:r>
                </w:p>
              </w:tc>
            </w:tr>
            <w:tr w:rsidR="00EF1726" w:rsidRPr="009D4714" w14:paraId="0B878A66" w14:textId="77777777" w:rsidTr="002D36BA">
              <w:trPr>
                <w:trHeight w:val="300"/>
                <w:jc w:val="center"/>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14:paraId="1EA30A28" w14:textId="77777777" w:rsidR="00EF1726" w:rsidRPr="009D4714" w:rsidRDefault="00EF1726" w:rsidP="002D36BA">
                  <w:pPr>
                    <w:ind w:firstLineChars="100" w:firstLine="220"/>
                    <w:rPr>
                      <w:color w:val="000000"/>
                      <w:sz w:val="22"/>
                      <w:szCs w:val="22"/>
                    </w:rPr>
                  </w:pPr>
                  <w:r w:rsidRPr="009D4714">
                    <w:rPr>
                      <w:color w:val="000000"/>
                      <w:sz w:val="22"/>
                      <w:szCs w:val="22"/>
                    </w:rPr>
                    <w:t>Alții</w:t>
                  </w:r>
                </w:p>
              </w:tc>
              <w:tc>
                <w:tcPr>
                  <w:tcW w:w="1701" w:type="dxa"/>
                  <w:tcBorders>
                    <w:top w:val="nil"/>
                    <w:left w:val="nil"/>
                    <w:bottom w:val="single" w:sz="4" w:space="0" w:color="auto"/>
                    <w:right w:val="single" w:sz="4" w:space="0" w:color="auto"/>
                  </w:tcBorders>
                  <w:shd w:val="clear" w:color="auto" w:fill="auto"/>
                  <w:noWrap/>
                  <w:vAlign w:val="bottom"/>
                  <w:hideMark/>
                </w:tcPr>
                <w:p w14:paraId="6FC95CC5" w14:textId="77777777" w:rsidR="00EF1726" w:rsidRPr="009D4714" w:rsidRDefault="00EF1726" w:rsidP="00EF1726">
                  <w:pPr>
                    <w:jc w:val="center"/>
                    <w:rPr>
                      <w:color w:val="000000"/>
                      <w:sz w:val="22"/>
                      <w:szCs w:val="22"/>
                    </w:rPr>
                  </w:pPr>
                  <w:r w:rsidRPr="009D4714">
                    <w:rPr>
                      <w:color w:val="000000"/>
                      <w:sz w:val="22"/>
                      <w:szCs w:val="22"/>
                    </w:rPr>
                    <w:t>0.07</w:t>
                  </w:r>
                </w:p>
              </w:tc>
              <w:tc>
                <w:tcPr>
                  <w:tcW w:w="1417" w:type="dxa"/>
                  <w:tcBorders>
                    <w:top w:val="nil"/>
                    <w:left w:val="nil"/>
                    <w:bottom w:val="single" w:sz="4" w:space="0" w:color="auto"/>
                    <w:right w:val="single" w:sz="4" w:space="0" w:color="auto"/>
                  </w:tcBorders>
                  <w:shd w:val="clear" w:color="auto" w:fill="auto"/>
                  <w:noWrap/>
                  <w:vAlign w:val="bottom"/>
                  <w:hideMark/>
                </w:tcPr>
                <w:p w14:paraId="1AF8F345" w14:textId="77777777" w:rsidR="00EF1726" w:rsidRPr="009D4714" w:rsidRDefault="00EF1726" w:rsidP="00EF1726">
                  <w:pPr>
                    <w:jc w:val="center"/>
                    <w:rPr>
                      <w:color w:val="000000"/>
                      <w:sz w:val="22"/>
                      <w:szCs w:val="22"/>
                    </w:rPr>
                  </w:pPr>
                  <w:r w:rsidRPr="009D4714">
                    <w:rPr>
                      <w:color w:val="000000"/>
                      <w:sz w:val="22"/>
                      <w:szCs w:val="22"/>
                    </w:rPr>
                    <w:t>0.92</w:t>
                  </w:r>
                </w:p>
              </w:tc>
              <w:tc>
                <w:tcPr>
                  <w:tcW w:w="1276" w:type="dxa"/>
                  <w:tcBorders>
                    <w:top w:val="nil"/>
                    <w:left w:val="nil"/>
                    <w:bottom w:val="single" w:sz="4" w:space="0" w:color="auto"/>
                    <w:right w:val="single" w:sz="4" w:space="0" w:color="auto"/>
                  </w:tcBorders>
                  <w:shd w:val="clear" w:color="auto" w:fill="auto"/>
                  <w:noWrap/>
                  <w:vAlign w:val="bottom"/>
                  <w:hideMark/>
                </w:tcPr>
                <w:p w14:paraId="5B9961BA" w14:textId="4CBBC805" w:rsidR="00EF1726" w:rsidRPr="009D4714" w:rsidRDefault="00703CE0" w:rsidP="00EF1726">
                  <w:pPr>
                    <w:jc w:val="center"/>
                    <w:rPr>
                      <w:color w:val="000000"/>
                      <w:sz w:val="22"/>
                      <w:szCs w:val="22"/>
                    </w:rPr>
                  </w:pPr>
                  <w:r>
                    <w:rPr>
                      <w:color w:val="000000"/>
                      <w:sz w:val="22"/>
                      <w:szCs w:val="22"/>
                    </w:rPr>
                    <w:t>1.03</w:t>
                  </w:r>
                </w:p>
              </w:tc>
              <w:tc>
                <w:tcPr>
                  <w:tcW w:w="1276" w:type="dxa"/>
                  <w:tcBorders>
                    <w:top w:val="nil"/>
                    <w:left w:val="nil"/>
                    <w:bottom w:val="single" w:sz="4" w:space="0" w:color="auto"/>
                    <w:right w:val="single" w:sz="4" w:space="0" w:color="auto"/>
                  </w:tcBorders>
                  <w:shd w:val="clear" w:color="auto" w:fill="auto"/>
                  <w:noWrap/>
                  <w:vAlign w:val="bottom"/>
                  <w:hideMark/>
                </w:tcPr>
                <w:p w14:paraId="2646F73C" w14:textId="617B8B75" w:rsidR="00EF1726" w:rsidRPr="009D4714" w:rsidRDefault="00703CE0" w:rsidP="00EF1726">
                  <w:pPr>
                    <w:jc w:val="center"/>
                    <w:rPr>
                      <w:color w:val="000000"/>
                      <w:sz w:val="22"/>
                      <w:szCs w:val="22"/>
                    </w:rPr>
                  </w:pPr>
                  <w:r>
                    <w:rPr>
                      <w:color w:val="000000"/>
                      <w:sz w:val="22"/>
                      <w:szCs w:val="22"/>
                    </w:rPr>
                    <w:t>6.01</w:t>
                  </w:r>
                </w:p>
              </w:tc>
            </w:tr>
            <w:tr w:rsidR="00EF1726" w:rsidRPr="009D4714" w14:paraId="22F9392D" w14:textId="77777777" w:rsidTr="002D36BA">
              <w:trPr>
                <w:trHeight w:val="300"/>
                <w:jc w:val="center"/>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14:paraId="69D5171C" w14:textId="77777777" w:rsidR="00EF1726" w:rsidRPr="009D4714" w:rsidRDefault="00EF1726" w:rsidP="002D36BA">
                  <w:pPr>
                    <w:ind w:firstLineChars="100" w:firstLine="220"/>
                    <w:rPr>
                      <w:color w:val="000000"/>
                      <w:sz w:val="22"/>
                      <w:szCs w:val="22"/>
                    </w:rPr>
                  </w:pPr>
                  <w:r w:rsidRPr="009D4714">
                    <w:rPr>
                      <w:color w:val="000000"/>
                      <w:sz w:val="22"/>
                      <w:szCs w:val="22"/>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2EE485E2" w14:textId="77777777" w:rsidR="00EF1726" w:rsidRPr="009D4714" w:rsidRDefault="00EF1726" w:rsidP="00EF1726">
                  <w:pPr>
                    <w:jc w:val="center"/>
                    <w:rPr>
                      <w:color w:val="000000"/>
                      <w:sz w:val="22"/>
                      <w:szCs w:val="22"/>
                    </w:rPr>
                  </w:pPr>
                  <w:r w:rsidRPr="009D4714">
                    <w:rPr>
                      <w:color w:val="000000"/>
                      <w:sz w:val="22"/>
                      <w:szCs w:val="22"/>
                    </w:rPr>
                    <w:t>36.4</w:t>
                  </w:r>
                </w:p>
              </w:tc>
              <w:tc>
                <w:tcPr>
                  <w:tcW w:w="1417" w:type="dxa"/>
                  <w:tcBorders>
                    <w:top w:val="nil"/>
                    <w:left w:val="nil"/>
                    <w:bottom w:val="single" w:sz="4" w:space="0" w:color="auto"/>
                    <w:right w:val="single" w:sz="4" w:space="0" w:color="auto"/>
                  </w:tcBorders>
                  <w:shd w:val="clear" w:color="auto" w:fill="auto"/>
                  <w:noWrap/>
                  <w:vAlign w:val="bottom"/>
                  <w:hideMark/>
                </w:tcPr>
                <w:p w14:paraId="0FF0FA7C" w14:textId="77777777" w:rsidR="00EF1726" w:rsidRPr="009D4714" w:rsidRDefault="00EF1726" w:rsidP="00EF1726">
                  <w:pPr>
                    <w:jc w:val="center"/>
                    <w:rPr>
                      <w:color w:val="000000"/>
                      <w:sz w:val="22"/>
                      <w:szCs w:val="22"/>
                    </w:rPr>
                  </w:pPr>
                  <w:r w:rsidRPr="009D4714">
                    <w:rPr>
                      <w:color w:val="000000"/>
                      <w:sz w:val="22"/>
                      <w:szCs w:val="22"/>
                    </w:rPr>
                    <w:t>31.8</w:t>
                  </w:r>
                </w:p>
              </w:tc>
              <w:tc>
                <w:tcPr>
                  <w:tcW w:w="1276" w:type="dxa"/>
                  <w:tcBorders>
                    <w:top w:val="nil"/>
                    <w:left w:val="nil"/>
                    <w:bottom w:val="single" w:sz="4" w:space="0" w:color="auto"/>
                    <w:right w:val="single" w:sz="4" w:space="0" w:color="auto"/>
                  </w:tcBorders>
                  <w:shd w:val="clear" w:color="auto" w:fill="auto"/>
                  <w:noWrap/>
                  <w:vAlign w:val="bottom"/>
                  <w:hideMark/>
                </w:tcPr>
                <w:p w14:paraId="2AC6102F" w14:textId="1F8A8C32" w:rsidR="00EF1726" w:rsidRPr="009D4714" w:rsidRDefault="000A39DB" w:rsidP="00EF1726">
                  <w:pPr>
                    <w:jc w:val="center"/>
                    <w:rPr>
                      <w:color w:val="000000"/>
                      <w:sz w:val="22"/>
                      <w:szCs w:val="22"/>
                    </w:rPr>
                  </w:pPr>
                  <w:r>
                    <w:rPr>
                      <w:color w:val="000000"/>
                      <w:sz w:val="22"/>
                      <w:szCs w:val="22"/>
                    </w:rPr>
                    <w:t>38</w:t>
                  </w:r>
                </w:p>
              </w:tc>
              <w:tc>
                <w:tcPr>
                  <w:tcW w:w="1276" w:type="dxa"/>
                  <w:tcBorders>
                    <w:top w:val="nil"/>
                    <w:left w:val="nil"/>
                    <w:bottom w:val="single" w:sz="4" w:space="0" w:color="auto"/>
                    <w:right w:val="single" w:sz="4" w:space="0" w:color="auto"/>
                  </w:tcBorders>
                  <w:shd w:val="clear" w:color="auto" w:fill="auto"/>
                  <w:noWrap/>
                  <w:vAlign w:val="bottom"/>
                  <w:hideMark/>
                </w:tcPr>
                <w:p w14:paraId="0B67AA34" w14:textId="25672232" w:rsidR="00EF1726" w:rsidRPr="009D4714" w:rsidRDefault="000A39DB" w:rsidP="00EF1726">
                  <w:pPr>
                    <w:jc w:val="center"/>
                    <w:rPr>
                      <w:color w:val="000000"/>
                      <w:sz w:val="22"/>
                      <w:szCs w:val="22"/>
                    </w:rPr>
                  </w:pPr>
                  <w:r>
                    <w:rPr>
                      <w:color w:val="000000"/>
                      <w:sz w:val="22"/>
                      <w:szCs w:val="22"/>
                    </w:rPr>
                    <w:t>39.1</w:t>
                  </w:r>
                </w:p>
              </w:tc>
            </w:tr>
          </w:tbl>
          <w:p w14:paraId="1E0F992F" w14:textId="277B4101" w:rsidR="00D77B00" w:rsidRPr="009D4714" w:rsidRDefault="002D36BA" w:rsidP="002D36BA">
            <w:pPr>
              <w:tabs>
                <w:tab w:val="left" w:pos="0"/>
                <w:tab w:val="left" w:pos="426"/>
                <w:tab w:val="left" w:pos="709"/>
                <w:tab w:val="left" w:pos="851"/>
              </w:tabs>
              <w:spacing w:before="120"/>
              <w:ind w:firstLine="731"/>
              <w:jc w:val="both"/>
            </w:pPr>
            <w:r w:rsidRPr="009D4714">
              <w:t>De menționat că în situația în care OST ar putea înregistra nu venituri dar costuri suplimentare de la echilibrarea sistemului, acestea ar fi suprapuse similar doar pe PRE-uri care și-au asumat responsabilitatea echilibrării pentru consumatorii finali, ceea ce ar constitui la fel o inechitate față de celelalte PRE-uri care au cauzat direct formarea acestui cost suplimentar. În acest context este necesară revizuirea mecanismului d</w:t>
            </w:r>
            <w:r w:rsidR="00AE5178">
              <w:t xml:space="preserve">e repartizare al costurilor sau </w:t>
            </w:r>
            <w:r w:rsidRPr="009D4714">
              <w:t>veniturilor suplimentare provenite din echilibrarea sistemului electroenergetic, în așa fel ca fiecare PRE să fie remunerată sau taxată în funcție de rezultat</w:t>
            </w:r>
            <w:r w:rsidR="00196110" w:rsidRPr="009D4714">
              <w:t>ul</w:t>
            </w:r>
            <w:r w:rsidR="004344DE" w:rsidRPr="009D4714">
              <w:t xml:space="preserve"> final</w:t>
            </w:r>
            <w:r w:rsidR="005D7E57">
              <w:t xml:space="preserve"> înregistrat de</w:t>
            </w:r>
            <w:r w:rsidRPr="009D4714">
              <w:t xml:space="preserve"> OST</w:t>
            </w:r>
            <w:r w:rsidR="00196110" w:rsidRPr="009D4714">
              <w:t>.</w:t>
            </w:r>
          </w:p>
          <w:p w14:paraId="5EA5DC80" w14:textId="3183776D" w:rsidR="004344DE" w:rsidRPr="009D4714" w:rsidRDefault="004344DE" w:rsidP="002D36BA">
            <w:pPr>
              <w:tabs>
                <w:tab w:val="left" w:pos="0"/>
                <w:tab w:val="left" w:pos="426"/>
                <w:tab w:val="left" w:pos="709"/>
                <w:tab w:val="left" w:pos="851"/>
              </w:tabs>
              <w:spacing w:before="120"/>
              <w:ind w:firstLine="731"/>
              <w:jc w:val="both"/>
            </w:pPr>
            <w:r w:rsidRPr="009D4714">
              <w:t xml:space="preserve">În același timp veniturile sau costurile respective urmează a fi redistribuie în cadrul grupurilor de echilibrare către fiecare </w:t>
            </w:r>
            <w:r w:rsidR="00A7660A">
              <w:t xml:space="preserve">membru </w:t>
            </w:r>
            <w:r w:rsidRPr="009D4714">
              <w:t>al grupului</w:t>
            </w:r>
            <w:r w:rsidR="00A7660A">
              <w:t xml:space="preserve"> de echilibrare</w:t>
            </w:r>
            <w:r w:rsidRPr="009D4714">
              <w:t>.</w:t>
            </w:r>
            <w:r w:rsidR="005D7E57">
              <w:t xml:space="preserve"> </w:t>
            </w:r>
            <w:r w:rsidRPr="009D4714">
              <w:t xml:space="preserve"> </w:t>
            </w:r>
          </w:p>
          <w:p w14:paraId="1FEB1FB0" w14:textId="77777777" w:rsidR="00627409" w:rsidRPr="009D4714" w:rsidRDefault="00627409" w:rsidP="00A161A4">
            <w:pPr>
              <w:tabs>
                <w:tab w:val="left" w:pos="0"/>
                <w:tab w:val="left" w:pos="426"/>
                <w:tab w:val="left" w:pos="709"/>
                <w:tab w:val="left" w:pos="851"/>
              </w:tabs>
              <w:jc w:val="both"/>
            </w:pPr>
          </w:p>
          <w:p w14:paraId="4436FBD3" w14:textId="6B370860" w:rsidR="005D7E57" w:rsidRPr="00965CE3" w:rsidRDefault="00690679" w:rsidP="00747A1B">
            <w:pPr>
              <w:pStyle w:val="a7"/>
              <w:numPr>
                <w:ilvl w:val="0"/>
                <w:numId w:val="24"/>
              </w:numPr>
              <w:tabs>
                <w:tab w:val="left" w:pos="0"/>
                <w:tab w:val="left" w:pos="426"/>
                <w:tab w:val="left" w:pos="709"/>
                <w:tab w:val="left" w:pos="851"/>
              </w:tabs>
              <w:spacing w:before="120"/>
              <w:jc w:val="both"/>
              <w:rPr>
                <w:i/>
              </w:rPr>
            </w:pPr>
            <w:r>
              <w:rPr>
                <w:i/>
              </w:rPr>
              <w:t>Lipsa</w:t>
            </w:r>
            <w:r w:rsidR="00747A1B" w:rsidRPr="00747A1B">
              <w:rPr>
                <w:i/>
              </w:rPr>
              <w:t xml:space="preserve"> unui algoritm de alocare al costurilor și veniturilor între membrii grupurilor de echilibrare, rezultate din activitatea grupului de echilibrare, care poate fi utilizat în cadrul grupurilor de echilibrare, dar care în același timp nu poartă un caracter imperativ.</w:t>
            </w:r>
          </w:p>
          <w:p w14:paraId="6D7F40CA" w14:textId="394928AD" w:rsidR="00130A47" w:rsidRPr="009D4714" w:rsidRDefault="00E21F17" w:rsidP="005D7E57">
            <w:pPr>
              <w:tabs>
                <w:tab w:val="left" w:pos="0"/>
                <w:tab w:val="left" w:pos="426"/>
                <w:tab w:val="left" w:pos="709"/>
                <w:tab w:val="left" w:pos="851"/>
              </w:tabs>
              <w:spacing w:before="120"/>
              <w:ind w:firstLine="736"/>
              <w:jc w:val="both"/>
            </w:pPr>
            <w:r w:rsidRPr="009D4714">
              <w:t xml:space="preserve">La momentul de față în cadrul platformei OST în calitate de părți responsabile </w:t>
            </w:r>
            <w:r w:rsidR="00D93783">
              <w:t>pentru</w:t>
            </w:r>
            <w:r w:rsidR="00D93783" w:rsidRPr="009D4714">
              <w:t xml:space="preserve"> </w:t>
            </w:r>
            <w:r w:rsidRPr="009D4714">
              <w:t>echilibrare sunt înregistrați 188 de participanți la piața de energie electrică (producători, operatori de sistem și furnizori), dintre care 31 au stat</w:t>
            </w:r>
            <w:r w:rsidR="00EB1951">
              <w:t>ut</w:t>
            </w:r>
            <w:r w:rsidRPr="009D4714">
              <w:t xml:space="preserve"> activ, adică nu și-au transferat responsabilitatea pentru echilibrare către alt participant </w:t>
            </w:r>
            <w:r w:rsidR="00EB1951">
              <w:t>a</w:t>
            </w:r>
            <w:r w:rsidRPr="009D4714">
              <w:t>l pi</w:t>
            </w:r>
            <w:r w:rsidR="00EB1951">
              <w:t>e</w:t>
            </w:r>
            <w:r w:rsidRPr="009D4714">
              <w:t>ț</w:t>
            </w:r>
            <w:r w:rsidR="00EB1951">
              <w:t>ei energiei electrice</w:t>
            </w:r>
            <w:r w:rsidRPr="009D4714">
              <w:t xml:space="preserve">, iar restul 157 fac parte din grupuri de </w:t>
            </w:r>
            <w:r w:rsidR="00130A47" w:rsidRPr="009D4714">
              <w:t>echilibrare</w:t>
            </w:r>
            <w:r w:rsidRPr="009D4714">
              <w:t>.</w:t>
            </w:r>
            <w:r w:rsidR="00130A47" w:rsidRPr="009D4714">
              <w:t xml:space="preserve"> Cu toate acestea</w:t>
            </w:r>
            <w:r w:rsidR="00690679">
              <w:t>,</w:t>
            </w:r>
            <w:r w:rsidR="00130A47" w:rsidRPr="009D4714">
              <w:t xml:space="preserve"> relațiile între participanții grupurilor de echilibrare în particular metoda de alocare a costurilor/veniturilor obținute din activitatea grupurilor nu este reglementată, acest moment fiind la discreția </w:t>
            </w:r>
            <w:r w:rsidR="00EB1951">
              <w:t>responsabililor grupurilor de echilibrare și ale membrilor lor în conformitate cu contractele încheiate</w:t>
            </w:r>
            <w:r w:rsidR="00130A47" w:rsidRPr="009D4714">
              <w:t xml:space="preserve">. </w:t>
            </w:r>
            <w:r w:rsidR="00747A1B">
              <w:t>În același timp nu există un algoritm unic tipizat care ar permite participanților la piață se își stabilească relațiile contractuale în cadrul grupului de echilibrare, în acest sens</w:t>
            </w:r>
            <w:r w:rsidR="002D7CE1">
              <w:t>,</w:t>
            </w:r>
            <w:r w:rsidR="00747A1B">
              <w:t xml:space="preserve"> implementarea unui astfel de algoritm care poate fi pus în aplicare, dar care nu este imperativ, se consideră oportună și necesară.  </w:t>
            </w:r>
          </w:p>
          <w:p w14:paraId="1DFC5F0C" w14:textId="4B884146" w:rsidR="00E21F17" w:rsidRPr="009D4714" w:rsidRDefault="00BE534E" w:rsidP="00196110">
            <w:pPr>
              <w:tabs>
                <w:tab w:val="left" w:pos="0"/>
                <w:tab w:val="left" w:pos="426"/>
                <w:tab w:val="left" w:pos="709"/>
                <w:tab w:val="left" w:pos="851"/>
              </w:tabs>
              <w:spacing w:before="120"/>
              <w:ind w:firstLine="731"/>
              <w:jc w:val="both"/>
            </w:pPr>
            <w:r>
              <w:t>Cu toate acestea, pentru a nu crea impedimente unei concurențe veritabile</w:t>
            </w:r>
            <w:r w:rsidR="002D7CE1">
              <w:t>,</w:t>
            </w:r>
            <w:r>
              <w:t xml:space="preserve"> algoritmul respectiv nu este unul obligator, ci poate fi utilizat de participanții la piață în cazul în care</w:t>
            </w:r>
            <w:r w:rsidR="002A0FB6">
              <w:t xml:space="preserve"> se convine asupra acestui fapt, altfel spus algoritmul reprezintă un reper care poate fi utilizat de participanții la piața de energie electrică.</w:t>
            </w:r>
            <w:r>
              <w:t xml:space="preserve"> </w:t>
            </w:r>
          </w:p>
          <w:p w14:paraId="7F7572BB" w14:textId="791A2DEE" w:rsidR="00FB7A5E" w:rsidRPr="009D4714" w:rsidRDefault="00FB7A5E" w:rsidP="00965CE3">
            <w:pPr>
              <w:tabs>
                <w:tab w:val="left" w:pos="0"/>
                <w:tab w:val="left" w:pos="426"/>
                <w:tab w:val="left" w:pos="709"/>
                <w:tab w:val="left" w:pos="851"/>
              </w:tabs>
              <w:spacing w:before="120"/>
              <w:jc w:val="both"/>
              <w:rPr>
                <w:i/>
              </w:rPr>
            </w:pPr>
          </w:p>
        </w:tc>
      </w:tr>
      <w:tr w:rsidR="00627409" w:rsidRPr="009D4714" w14:paraId="4AC82253" w14:textId="77777777" w:rsidTr="00627409">
        <w:trPr>
          <w:trHeight w:val="319"/>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4E1F02F" w14:textId="77777777" w:rsidR="00627409" w:rsidRPr="009D4714" w:rsidRDefault="00627409" w:rsidP="00176397">
            <w:pPr>
              <w:ind w:firstLine="23"/>
              <w:rPr>
                <w:b/>
              </w:rPr>
            </w:pPr>
            <w:r w:rsidRPr="009D4714">
              <w:rPr>
                <w:b/>
              </w:rPr>
              <w:lastRenderedPageBreak/>
              <w:t>c) Cauzele care au dus la apari</w:t>
            </w:r>
            <w:r w:rsidR="00176397" w:rsidRPr="009D4714">
              <w:rPr>
                <w:b/>
              </w:rPr>
              <w:t>ț</w:t>
            </w:r>
            <w:r w:rsidRPr="009D4714">
              <w:rPr>
                <w:b/>
              </w:rPr>
              <w:t>ia problemei.</w:t>
            </w:r>
          </w:p>
        </w:tc>
      </w:tr>
      <w:tr w:rsidR="00471C9D" w:rsidRPr="009D4714" w14:paraId="1FA68878" w14:textId="77777777" w:rsidTr="007C5365">
        <w:trPr>
          <w:trHeight w:val="903"/>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BF4456D" w14:textId="077950A9" w:rsidR="00D1199B" w:rsidRDefault="0018329D" w:rsidP="0018329D">
            <w:pPr>
              <w:tabs>
                <w:tab w:val="left" w:pos="0"/>
                <w:tab w:val="left" w:pos="426"/>
                <w:tab w:val="left" w:pos="709"/>
              </w:tabs>
              <w:ind w:firstLine="586"/>
              <w:jc w:val="both"/>
              <w:rPr>
                <w:i/>
                <w:u w:val="single"/>
              </w:rPr>
            </w:pPr>
            <w:r w:rsidRPr="009D4714">
              <w:rPr>
                <w:i/>
                <w:u w:val="single"/>
              </w:rPr>
              <w:t>Referitor la problema nr.</w:t>
            </w:r>
            <w:r w:rsidR="0066405B" w:rsidRPr="009D4714">
              <w:rPr>
                <w:i/>
                <w:u w:val="single"/>
              </w:rPr>
              <w:t xml:space="preserve"> </w:t>
            </w:r>
            <w:r w:rsidRPr="009D4714">
              <w:rPr>
                <w:i/>
                <w:u w:val="single"/>
              </w:rPr>
              <w:t>1</w:t>
            </w:r>
          </w:p>
          <w:p w14:paraId="5418093C" w14:textId="77777777" w:rsidR="00200084" w:rsidRPr="009D4714" w:rsidRDefault="00200084" w:rsidP="0018329D">
            <w:pPr>
              <w:tabs>
                <w:tab w:val="left" w:pos="0"/>
                <w:tab w:val="left" w:pos="426"/>
                <w:tab w:val="left" w:pos="709"/>
              </w:tabs>
              <w:ind w:firstLine="586"/>
              <w:jc w:val="both"/>
              <w:rPr>
                <w:i/>
                <w:u w:val="single"/>
              </w:rPr>
            </w:pPr>
          </w:p>
          <w:p w14:paraId="102707AF" w14:textId="513E411B" w:rsidR="0018329D" w:rsidRPr="009D4714" w:rsidRDefault="0018329D" w:rsidP="0018329D">
            <w:pPr>
              <w:tabs>
                <w:tab w:val="left" w:pos="0"/>
                <w:tab w:val="left" w:pos="426"/>
                <w:tab w:val="left" w:pos="709"/>
              </w:tabs>
              <w:ind w:firstLine="586"/>
              <w:jc w:val="both"/>
            </w:pPr>
            <w:r w:rsidRPr="009D4714">
              <w:t xml:space="preserve">Cauzele principale care au dus la apariția problemei legate de calcularea și decontarea dezechilibrelor </w:t>
            </w:r>
            <w:r w:rsidR="003077A2">
              <w:t xml:space="preserve">generate în rețeaua electrică de către </w:t>
            </w:r>
            <w:r w:rsidRPr="009D4714">
              <w:t>participanții pi</w:t>
            </w:r>
            <w:r w:rsidR="003077A2">
              <w:t>e</w:t>
            </w:r>
            <w:r w:rsidRPr="009D4714">
              <w:t>ț</w:t>
            </w:r>
            <w:r w:rsidR="003077A2">
              <w:t>ei energiei electrice</w:t>
            </w:r>
            <w:r w:rsidR="000B18B8" w:rsidRPr="009D4714">
              <w:t>, și ca rezultat la acumularea unor venituri suplimentare de către OST</w:t>
            </w:r>
            <w:r w:rsidRPr="009D4714">
              <w:t xml:space="preserve"> sunt: </w:t>
            </w:r>
          </w:p>
          <w:p w14:paraId="0D60B8BB" w14:textId="7B1F7A91" w:rsidR="0018329D" w:rsidRPr="009D4714" w:rsidRDefault="0018329D" w:rsidP="00FE550A">
            <w:pPr>
              <w:pStyle w:val="a7"/>
              <w:numPr>
                <w:ilvl w:val="0"/>
                <w:numId w:val="29"/>
              </w:numPr>
              <w:tabs>
                <w:tab w:val="left" w:pos="0"/>
                <w:tab w:val="left" w:pos="426"/>
                <w:tab w:val="left" w:pos="709"/>
              </w:tabs>
              <w:jc w:val="both"/>
            </w:pPr>
            <w:r w:rsidRPr="009D4714">
              <w:t>mecanismul actual de stabilire a prețurilor pentru deficit și excedent de energie electrică</w:t>
            </w:r>
            <w:r w:rsidR="00FE550A" w:rsidRPr="009D4714">
              <w:t xml:space="preserve"> </w:t>
            </w:r>
            <w:r w:rsidR="003077A2">
              <w:t xml:space="preserve">de echilibrare </w:t>
            </w:r>
            <w:r w:rsidR="00FE550A" w:rsidRPr="009D4714">
              <w:t xml:space="preserve">și anume </w:t>
            </w:r>
            <w:r w:rsidRPr="009D4714">
              <w:t>aplicarea valorii maxime pentru dezechilibrele în deficit</w:t>
            </w:r>
            <w:r w:rsidR="00FE550A" w:rsidRPr="009D4714">
              <w:t xml:space="preserve"> dintre costul real al energiei electrice de echilibrare activate și produsul dintre factorul de dezechilibru și prețul de închidere a pieței</w:t>
            </w:r>
            <w:r w:rsidRPr="009D4714">
              <w:t xml:space="preserve"> și minime pentru dezechilibrele în excedent</w:t>
            </w:r>
            <w:r w:rsidR="00FE550A" w:rsidRPr="009D4714">
              <w:t xml:space="preserve"> dintre venitul real</w:t>
            </w:r>
            <w:r w:rsidR="00F96022" w:rsidRPr="009D4714">
              <w:t xml:space="preserve"> aferent</w:t>
            </w:r>
            <w:r w:rsidR="00FE550A" w:rsidRPr="009D4714">
              <w:t xml:space="preserve"> energiei electrice de echilibrare activate și produsul dintre factorul de dezechilibru și prețul de închidere a pieței</w:t>
            </w:r>
            <w:r w:rsidRPr="009D4714">
              <w:t>;</w:t>
            </w:r>
          </w:p>
          <w:p w14:paraId="1467DF58" w14:textId="5C548C63" w:rsidR="0018329D" w:rsidRPr="009D4714" w:rsidRDefault="0018329D" w:rsidP="0018329D">
            <w:pPr>
              <w:pStyle w:val="a7"/>
              <w:numPr>
                <w:ilvl w:val="0"/>
                <w:numId w:val="29"/>
              </w:numPr>
              <w:tabs>
                <w:tab w:val="left" w:pos="0"/>
                <w:tab w:val="left" w:pos="426"/>
                <w:tab w:val="left" w:pos="709"/>
              </w:tabs>
              <w:jc w:val="both"/>
            </w:pPr>
            <w:r w:rsidRPr="009D4714">
              <w:lastRenderedPageBreak/>
              <w:t>lipsa prețului de închidere a pieței la nivel național, altfel spus lipsa pieței pentru ziua următoare și respectiv aplicarea prețului pentru ziua următoare din Ucraina</w:t>
            </w:r>
            <w:r w:rsidR="005F379D" w:rsidRPr="00473E41">
              <w:t xml:space="preserve"> (</w:t>
            </w:r>
            <w:r w:rsidR="005F379D">
              <w:t>prevedere prevăzută în RPEE</w:t>
            </w:r>
            <w:r w:rsidR="005F379D" w:rsidRPr="00473E41">
              <w:t>)</w:t>
            </w:r>
            <w:r w:rsidRPr="009D4714">
              <w:t>, care la moment poate fi considerat un indicator de referință mai puțin</w:t>
            </w:r>
            <w:r w:rsidR="005F379D">
              <w:t xml:space="preserve"> relevant în sensul formării acestuia în baza unor principii de piață </w:t>
            </w:r>
            <w:r w:rsidR="00FE550A" w:rsidRPr="009D4714">
              <w:t>concurențial</w:t>
            </w:r>
            <w:r w:rsidR="005F379D">
              <w:t>e,</w:t>
            </w:r>
            <w:r w:rsidR="00FE550A" w:rsidRPr="009D4714">
              <w:t xml:space="preserve"> ținând </w:t>
            </w:r>
            <w:r w:rsidR="005F379D">
              <w:t>cont de aplicarea plafoanelor în cadrul piețelor</w:t>
            </w:r>
            <w:r w:rsidR="00FE550A" w:rsidRPr="009D4714">
              <w:t xml:space="preserve"> organizate din statul vecin; </w:t>
            </w:r>
          </w:p>
          <w:p w14:paraId="30E054B1" w14:textId="329A9B2A" w:rsidR="0018329D" w:rsidRPr="009D4714" w:rsidRDefault="0018329D" w:rsidP="0018329D">
            <w:pPr>
              <w:pStyle w:val="a7"/>
              <w:numPr>
                <w:ilvl w:val="0"/>
                <w:numId w:val="29"/>
              </w:numPr>
              <w:tabs>
                <w:tab w:val="left" w:pos="0"/>
                <w:tab w:val="left" w:pos="426"/>
                <w:tab w:val="left" w:pos="709"/>
              </w:tabs>
              <w:jc w:val="both"/>
            </w:pPr>
            <w:r w:rsidRPr="009D4714">
              <w:t xml:space="preserve">lipsa </w:t>
            </w:r>
            <w:r w:rsidR="00FE550A" w:rsidRPr="009D4714">
              <w:t>capacităților interne de generare care să ofere servicii de echilibrare</w:t>
            </w:r>
            <w:r w:rsidR="008F2947" w:rsidRPr="009D4714">
              <w:t xml:space="preserve"> către OST</w:t>
            </w:r>
            <w:r w:rsidR="005F379D">
              <w:t xml:space="preserve"> fie în baza unor contracte la prețuri prestabilite sau în baza ordinii de merit</w:t>
            </w:r>
            <w:r w:rsidR="00FE550A" w:rsidRPr="009D4714">
              <w:t xml:space="preserve">, și respectiv asigurarea echilibrării prin intermediul mecanismului </w:t>
            </w:r>
            <w:proofErr w:type="spellStart"/>
            <w:r w:rsidR="00FE550A" w:rsidRPr="009D4714">
              <w:t>Fskar</w:t>
            </w:r>
            <w:proofErr w:type="spellEnd"/>
            <w:r w:rsidR="00FE550A" w:rsidRPr="009D4714">
              <w:t>, prețurile pentru energia respectivă fiind destul de mari</w:t>
            </w:r>
            <w:r w:rsidR="00120D54" w:rsidRPr="009D4714">
              <w:t xml:space="preserve"> pentru că fac referință la prețul de închidere al pieței pentru ziua următoare din spațiul ENTSO-E</w:t>
            </w:r>
            <w:r w:rsidR="00FE550A" w:rsidRPr="009D4714">
              <w:t xml:space="preserve"> și </w:t>
            </w:r>
            <w:r w:rsidR="0024657A">
              <w:t xml:space="preserve">au </w:t>
            </w:r>
            <w:r w:rsidR="00120D54" w:rsidRPr="009D4714">
              <w:t xml:space="preserve"> un</w:t>
            </w:r>
            <w:r w:rsidR="00FE550A" w:rsidRPr="009D4714">
              <w:t xml:space="preserve"> caracter volatil.</w:t>
            </w:r>
          </w:p>
          <w:p w14:paraId="4E449A6C" w14:textId="77777777" w:rsidR="00AE34A6" w:rsidRPr="009D4714" w:rsidRDefault="00AE34A6" w:rsidP="00AE34A6">
            <w:pPr>
              <w:tabs>
                <w:tab w:val="left" w:pos="0"/>
                <w:tab w:val="left" w:pos="426"/>
                <w:tab w:val="left" w:pos="709"/>
              </w:tabs>
              <w:ind w:firstLine="586"/>
              <w:jc w:val="both"/>
              <w:rPr>
                <w:i/>
                <w:u w:val="single"/>
              </w:rPr>
            </w:pPr>
          </w:p>
          <w:p w14:paraId="48205A29" w14:textId="05BA4CB6" w:rsidR="00AE34A6" w:rsidRDefault="00AE34A6" w:rsidP="00AE34A6">
            <w:pPr>
              <w:tabs>
                <w:tab w:val="left" w:pos="0"/>
                <w:tab w:val="left" w:pos="426"/>
                <w:tab w:val="left" w:pos="709"/>
              </w:tabs>
              <w:ind w:firstLine="586"/>
              <w:jc w:val="both"/>
              <w:rPr>
                <w:i/>
                <w:u w:val="single"/>
              </w:rPr>
            </w:pPr>
            <w:r w:rsidRPr="009D4714">
              <w:rPr>
                <w:i/>
                <w:u w:val="single"/>
              </w:rPr>
              <w:t>Referitor la problema nr.</w:t>
            </w:r>
            <w:r w:rsidR="000B18B8" w:rsidRPr="009D4714">
              <w:rPr>
                <w:i/>
                <w:u w:val="single"/>
              </w:rPr>
              <w:t xml:space="preserve"> </w:t>
            </w:r>
            <w:r w:rsidRPr="009D4714">
              <w:rPr>
                <w:i/>
                <w:u w:val="single"/>
              </w:rPr>
              <w:t>2</w:t>
            </w:r>
          </w:p>
          <w:p w14:paraId="571D9DC2" w14:textId="77777777" w:rsidR="00200084" w:rsidRPr="009D4714" w:rsidRDefault="00200084" w:rsidP="00AE34A6">
            <w:pPr>
              <w:tabs>
                <w:tab w:val="left" w:pos="0"/>
                <w:tab w:val="left" w:pos="426"/>
                <w:tab w:val="left" w:pos="709"/>
              </w:tabs>
              <w:ind w:firstLine="586"/>
              <w:jc w:val="both"/>
              <w:rPr>
                <w:i/>
                <w:u w:val="single"/>
              </w:rPr>
            </w:pPr>
          </w:p>
          <w:p w14:paraId="6BF15A89" w14:textId="4522247B" w:rsidR="00865864" w:rsidRPr="009D4714" w:rsidRDefault="00865864" w:rsidP="00AE34A6">
            <w:pPr>
              <w:tabs>
                <w:tab w:val="left" w:pos="0"/>
                <w:tab w:val="left" w:pos="426"/>
                <w:tab w:val="left" w:pos="709"/>
              </w:tabs>
              <w:ind w:firstLine="586"/>
              <w:jc w:val="both"/>
            </w:pPr>
            <w:r w:rsidRPr="009D4714">
              <w:t>Problema repartizării</w:t>
            </w:r>
            <w:r w:rsidR="000939C2" w:rsidRPr="009D4714">
              <w:t xml:space="preserve"> echitabile a</w:t>
            </w:r>
            <w:r w:rsidRPr="009D4714">
              <w:t xml:space="preserve"> veniturilor/costurilor suplimentare acumulate de OST în procesul de echilibrare a sistemului electroenergetic poate fi expusă prin prisma a două aspecte </w:t>
            </w:r>
            <w:r w:rsidR="000939C2" w:rsidRPr="009D4714">
              <w:t xml:space="preserve">de bază </w:t>
            </w:r>
            <w:r w:rsidRPr="009D4714">
              <w:t xml:space="preserve">și anume: </w:t>
            </w:r>
          </w:p>
          <w:p w14:paraId="35B21B2F" w14:textId="1E528A44" w:rsidR="000B18B8" w:rsidRPr="009D4714" w:rsidRDefault="00865864" w:rsidP="00865864">
            <w:pPr>
              <w:pStyle w:val="a7"/>
              <w:numPr>
                <w:ilvl w:val="0"/>
                <w:numId w:val="30"/>
              </w:numPr>
              <w:tabs>
                <w:tab w:val="left" w:pos="0"/>
                <w:tab w:val="left" w:pos="426"/>
                <w:tab w:val="left" w:pos="709"/>
              </w:tabs>
              <w:jc w:val="both"/>
            </w:pPr>
            <w:r w:rsidRPr="009D4714">
              <w:t>redacția actuală a RPEE prevede repartizarea venitului/costului suplimentar acumulat de OST exclusiv către PRE-urile care au consumatori finali (furnizori de energie electrică), ceea ce reprezintă o inechitate față de ceilalți participanți la piața energiei electrice atât prin prisma posibilelor venituri cât și prin</w:t>
            </w:r>
            <w:r w:rsidR="000939C2" w:rsidRPr="009D4714">
              <w:t xml:space="preserve"> prisma</w:t>
            </w:r>
            <w:r w:rsidRPr="009D4714">
              <w:t xml:space="preserve"> </w:t>
            </w:r>
            <w:r w:rsidR="000939C2" w:rsidRPr="009D4714">
              <w:t>responsabilității financiare</w:t>
            </w:r>
            <w:r w:rsidRPr="009D4714">
              <w:t xml:space="preserve"> pentru potențialele costuri suplimentare</w:t>
            </w:r>
            <w:r w:rsidR="000939C2" w:rsidRPr="009D4714">
              <w:t xml:space="preserve"> cauzate de fiecare participant </w:t>
            </w:r>
            <w:r w:rsidR="00CC4DC4">
              <w:t>a</w:t>
            </w:r>
            <w:r w:rsidR="000939C2" w:rsidRPr="009D4714">
              <w:t>l pi</w:t>
            </w:r>
            <w:r w:rsidR="00CC4DC4">
              <w:t>e</w:t>
            </w:r>
            <w:r w:rsidR="000939C2" w:rsidRPr="009D4714">
              <w:t>ț</w:t>
            </w:r>
            <w:r w:rsidR="00CC4DC4">
              <w:t>ei</w:t>
            </w:r>
            <w:r w:rsidR="000939C2" w:rsidRPr="009D4714">
              <w:t xml:space="preserve"> energie</w:t>
            </w:r>
            <w:r w:rsidR="00CC4DC4">
              <w:t>i</w:t>
            </w:r>
            <w:r w:rsidR="000939C2" w:rsidRPr="009D4714">
              <w:t xml:space="preserve"> electric</w:t>
            </w:r>
            <w:r w:rsidR="00CC4DC4">
              <w:t>e</w:t>
            </w:r>
            <w:r w:rsidR="000939C2" w:rsidRPr="009D4714">
              <w:t xml:space="preserve">; </w:t>
            </w:r>
          </w:p>
          <w:p w14:paraId="1115A848" w14:textId="0EBE8F6F" w:rsidR="000939C2" w:rsidRPr="009D4714" w:rsidRDefault="000939C2" w:rsidP="000939C2">
            <w:pPr>
              <w:pStyle w:val="a7"/>
              <w:numPr>
                <w:ilvl w:val="0"/>
                <w:numId w:val="30"/>
              </w:numPr>
              <w:tabs>
                <w:tab w:val="left" w:pos="0"/>
                <w:tab w:val="left" w:pos="426"/>
                <w:tab w:val="left" w:pos="709"/>
              </w:tabs>
              <w:jc w:val="both"/>
            </w:pPr>
            <w:r w:rsidRPr="009D4714">
              <w:t xml:space="preserve">problema repartizării costurilor/veniturilor suplimentare parțial rezidă și este în particular agravată de problema nr. 1 și anume prin faptul că mecanismul actual de stabilire a prețurilor pentru dezechilibre și decontarea acestora creează formarea unui fond suplimentar (peste necesitățile OST legate de plata energiei </w:t>
            </w:r>
            <w:r w:rsidR="00CC4DC4">
              <w:t xml:space="preserve">electrice de </w:t>
            </w:r>
            <w:r w:rsidRPr="009D4714">
              <w:t xml:space="preserve"> echilibrare) care după cum s-a menționat este format din activitatea tuturor PRE-urilor care participă la piața angro a energiei electrice, fiind însă repartizat doar PRE-urilor care și-au asumat responsabilitatea echilibrării pentru consumatorii finali de energie electrică. </w:t>
            </w:r>
            <w:r w:rsidR="002B7045" w:rsidRPr="009D4714">
              <w:t xml:space="preserve">Concomitent, aspectul respectiv trebuie transpus și la nivelul grupurilor de echilibrare astfel că responsabilii grupurilor de echilibrare urmează să redistribuie costul/venitul suplimentar aferent grupului către </w:t>
            </w:r>
            <w:r w:rsidR="00CC4DC4">
              <w:t>membrii grupului de echilibrare</w:t>
            </w:r>
            <w:r w:rsidR="002B7045" w:rsidRPr="009D4714">
              <w:t xml:space="preserve">. </w:t>
            </w:r>
          </w:p>
          <w:p w14:paraId="7529BCB3" w14:textId="77777777" w:rsidR="002B7045" w:rsidRPr="009D4714" w:rsidRDefault="002B7045" w:rsidP="002B7045">
            <w:pPr>
              <w:pStyle w:val="a7"/>
              <w:tabs>
                <w:tab w:val="left" w:pos="0"/>
                <w:tab w:val="left" w:pos="426"/>
                <w:tab w:val="left" w:pos="709"/>
              </w:tabs>
              <w:ind w:left="1370"/>
              <w:jc w:val="both"/>
            </w:pPr>
          </w:p>
          <w:p w14:paraId="7DC88BB3" w14:textId="6BDE69D3" w:rsidR="002B7045" w:rsidRDefault="002B7045" w:rsidP="002B7045">
            <w:pPr>
              <w:tabs>
                <w:tab w:val="left" w:pos="0"/>
                <w:tab w:val="left" w:pos="426"/>
                <w:tab w:val="left" w:pos="709"/>
              </w:tabs>
              <w:ind w:firstLine="586"/>
              <w:jc w:val="both"/>
              <w:rPr>
                <w:i/>
                <w:u w:val="single"/>
              </w:rPr>
            </w:pPr>
            <w:r w:rsidRPr="009D4714">
              <w:rPr>
                <w:i/>
                <w:u w:val="single"/>
              </w:rPr>
              <w:t>Referitor la problema nr. 3</w:t>
            </w:r>
          </w:p>
          <w:p w14:paraId="4E8EA67B" w14:textId="77777777" w:rsidR="00200084" w:rsidRPr="009D4714" w:rsidRDefault="00200084" w:rsidP="002B7045">
            <w:pPr>
              <w:tabs>
                <w:tab w:val="left" w:pos="0"/>
                <w:tab w:val="left" w:pos="426"/>
                <w:tab w:val="left" w:pos="709"/>
              </w:tabs>
              <w:ind w:firstLine="586"/>
              <w:jc w:val="both"/>
              <w:rPr>
                <w:i/>
                <w:u w:val="single"/>
              </w:rPr>
            </w:pPr>
          </w:p>
          <w:p w14:paraId="3A73E835" w14:textId="0E1D2608" w:rsidR="00AE34A6" w:rsidRPr="009D4714" w:rsidRDefault="00C52581" w:rsidP="006C43C8">
            <w:pPr>
              <w:tabs>
                <w:tab w:val="left" w:pos="0"/>
                <w:tab w:val="left" w:pos="426"/>
                <w:tab w:val="left" w:pos="709"/>
              </w:tabs>
              <w:ind w:firstLine="586"/>
              <w:jc w:val="both"/>
            </w:pPr>
            <w:r w:rsidRPr="009D4714">
              <w:t xml:space="preserve">În scopul reducerii costului dezechilibrelor individuale ale participanților la piața energiei electrice RPEE prevăd dreptul PRE-urilor de a forma și de a face parte din grupuri de echilibrare. Astfel, în scopul decontării dezechilibrelor OST are raporturi cu responsabilul grupului de </w:t>
            </w:r>
            <w:r w:rsidR="006C43C8" w:rsidRPr="009D4714">
              <w:t>echilibrare care suportă costurile corespunzătoare dezechilibrelor sumare cauzate de membrii grupului de echilibrare. Distribuirea costurilor dezechilibrelor corespunzătoare dezechilibrelor în</w:t>
            </w:r>
            <w:r w:rsidR="00CC4DC4">
              <w:t>tre membrii</w:t>
            </w:r>
            <w:r w:rsidR="006C43C8" w:rsidRPr="009D4714">
              <w:t xml:space="preserve"> grupului de echilibrare este realizată de responsabilul grupului de echilibrare</w:t>
            </w:r>
            <w:r w:rsidR="00CC4DC4">
              <w:t>,</w:t>
            </w:r>
            <w:r w:rsidR="006C43C8" w:rsidRPr="009D4714">
              <w:t xml:space="preserve"> conform acordurilor încheiate</w:t>
            </w:r>
            <w:r w:rsidR="00CC4DC4">
              <w:t xml:space="preserve"> cu </w:t>
            </w:r>
            <w:r w:rsidR="006C43C8" w:rsidRPr="009D4714">
              <w:t xml:space="preserve">PRE care constituie grupul de echilibrare. </w:t>
            </w:r>
          </w:p>
          <w:p w14:paraId="6886B455" w14:textId="4D561F13" w:rsidR="006C43C8" w:rsidRPr="009D4714" w:rsidRDefault="006C43C8" w:rsidP="006C43C8">
            <w:pPr>
              <w:tabs>
                <w:tab w:val="left" w:pos="0"/>
                <w:tab w:val="left" w:pos="426"/>
                <w:tab w:val="left" w:pos="709"/>
              </w:tabs>
              <w:ind w:firstLine="586"/>
              <w:jc w:val="both"/>
            </w:pPr>
            <w:r w:rsidRPr="009D4714">
              <w:t xml:space="preserve">În scopul creșterii gradului de transparență privind activitatea desfășurată </w:t>
            </w:r>
            <w:r w:rsidR="00473E41">
              <w:t>de</w:t>
            </w:r>
            <w:r w:rsidRPr="009D4714">
              <w:t xml:space="preserve"> grupuril</w:t>
            </w:r>
            <w:r w:rsidR="00CC4DC4">
              <w:t>e</w:t>
            </w:r>
            <w:r w:rsidRPr="009D4714">
              <w:t xml:space="preserve"> de echilibrare, precum și pentru a oferi </w:t>
            </w:r>
            <w:r w:rsidR="00473E41">
              <w:t>un cadru de reper</w:t>
            </w:r>
            <w:r w:rsidRPr="009D4714">
              <w:t xml:space="preserve"> tuturor participanților pi</w:t>
            </w:r>
            <w:r w:rsidR="00CC4DC4">
              <w:t>e</w:t>
            </w:r>
            <w:r w:rsidRPr="009D4714">
              <w:t>ț</w:t>
            </w:r>
            <w:r w:rsidR="00CC4DC4">
              <w:t>ei</w:t>
            </w:r>
            <w:r w:rsidRPr="009D4714">
              <w:t xml:space="preserve"> energie</w:t>
            </w:r>
            <w:r w:rsidR="00CC4DC4">
              <w:t>i</w:t>
            </w:r>
            <w:r w:rsidRPr="009D4714">
              <w:t xml:space="preserve"> electric</w:t>
            </w:r>
            <w:r w:rsidR="00CC4DC4">
              <w:t>e</w:t>
            </w:r>
            <w:r w:rsidRPr="009D4714">
              <w:t xml:space="preserve"> este necesară implementarea unui algoritm de alocare a veniturilor/costurilor rezultate din activitatea grupului de echilibrare către membrii acestuia, care</w:t>
            </w:r>
            <w:r w:rsidR="00A850F1">
              <w:t xml:space="preserve"> poate fi</w:t>
            </w:r>
            <w:r w:rsidRPr="009D4714">
              <w:t xml:space="preserve"> aplicat </w:t>
            </w:r>
            <w:r w:rsidR="00CC4DC4">
              <w:t xml:space="preserve">de responsabilul </w:t>
            </w:r>
            <w:r w:rsidRPr="009D4714">
              <w:t>oricărui grup de echilibrare</w:t>
            </w:r>
            <w:r w:rsidR="00D93783">
              <w:t xml:space="preserve"> și de către membrii grupului de echilibrare respectiv.</w:t>
            </w:r>
            <w:r w:rsidRPr="009D4714">
              <w:t xml:space="preserve"> </w:t>
            </w:r>
          </w:p>
          <w:p w14:paraId="0C2FC508" w14:textId="3A1F13F8" w:rsidR="0066405B" w:rsidRPr="009D4714" w:rsidRDefault="00200084" w:rsidP="00CC4DC4">
            <w:pPr>
              <w:tabs>
                <w:tab w:val="left" w:pos="0"/>
                <w:tab w:val="left" w:pos="426"/>
                <w:tab w:val="left" w:pos="709"/>
              </w:tabs>
              <w:ind w:firstLine="586"/>
              <w:jc w:val="both"/>
            </w:pPr>
            <w:r>
              <w:t xml:space="preserve"> </w:t>
            </w:r>
            <w:r w:rsidR="00FC42B9" w:rsidRPr="009D4714">
              <w:t xml:space="preserve">  </w:t>
            </w:r>
            <w:r w:rsidR="00392385" w:rsidRPr="009D4714">
              <w:t xml:space="preserve"> </w:t>
            </w:r>
          </w:p>
        </w:tc>
      </w:tr>
      <w:tr w:rsidR="00FB609F" w:rsidRPr="009D4714" w14:paraId="487FF1E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2CE1EC9" w14:textId="77777777" w:rsidR="00FB609F" w:rsidRPr="009D4714" w:rsidRDefault="00F62480" w:rsidP="00176397">
            <w:r w:rsidRPr="009D4714">
              <w:rPr>
                <w:b/>
                <w:i/>
              </w:rPr>
              <w:lastRenderedPageBreak/>
              <w:t>d) Descrie</w:t>
            </w:r>
            <w:r w:rsidR="00176397" w:rsidRPr="009D4714">
              <w:rPr>
                <w:b/>
                <w:i/>
              </w:rPr>
              <w:t>ț</w:t>
            </w:r>
            <w:r w:rsidRPr="009D4714">
              <w:rPr>
                <w:b/>
                <w:i/>
              </w:rPr>
              <w:t xml:space="preserve">i cum a evoluat problema </w:t>
            </w:r>
            <w:r w:rsidR="00176397" w:rsidRPr="009D4714">
              <w:rPr>
                <w:b/>
                <w:i/>
              </w:rPr>
              <w:t>ș</w:t>
            </w:r>
            <w:r w:rsidR="00675F58" w:rsidRPr="009D4714">
              <w:rPr>
                <w:b/>
                <w:i/>
              </w:rPr>
              <w:t>i</w:t>
            </w:r>
            <w:r w:rsidRPr="009D4714">
              <w:rPr>
                <w:b/>
                <w:i/>
              </w:rPr>
              <w:t xml:space="preserve"> cum va evolua fără o interven</w:t>
            </w:r>
            <w:r w:rsidR="00176397" w:rsidRPr="009D4714">
              <w:rPr>
                <w:b/>
                <w:i/>
              </w:rPr>
              <w:t>ț</w:t>
            </w:r>
            <w:r w:rsidRPr="009D4714">
              <w:rPr>
                <w:b/>
                <w:i/>
              </w:rPr>
              <w:t>ie</w:t>
            </w:r>
          </w:p>
        </w:tc>
      </w:tr>
      <w:tr w:rsidR="00FB609F" w:rsidRPr="009D4714" w14:paraId="407C53E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1274F39" w14:textId="4D814CB9" w:rsidR="000B0F70" w:rsidRDefault="00E7718E" w:rsidP="00176397">
            <w:pPr>
              <w:pStyle w:val="af6"/>
              <w:rPr>
                <w:rFonts w:eastAsia="Times New Roman"/>
                <w:i/>
                <w:u w:val="single"/>
                <w:lang w:eastAsia="ru-RU"/>
              </w:rPr>
            </w:pPr>
            <w:r w:rsidRPr="009D4714">
              <w:rPr>
                <w:rFonts w:eastAsia="Times New Roman"/>
                <w:i/>
                <w:u w:val="single"/>
                <w:lang w:eastAsia="ru-RU"/>
              </w:rPr>
              <w:t>Referitor la problema nr.</w:t>
            </w:r>
            <w:r w:rsidR="00C52581" w:rsidRPr="009D4714">
              <w:rPr>
                <w:rFonts w:eastAsia="Times New Roman"/>
                <w:i/>
                <w:u w:val="single"/>
                <w:lang w:eastAsia="ru-RU"/>
              </w:rPr>
              <w:t xml:space="preserve"> </w:t>
            </w:r>
            <w:r w:rsidRPr="009D4714">
              <w:rPr>
                <w:rFonts w:eastAsia="Times New Roman"/>
                <w:i/>
                <w:u w:val="single"/>
                <w:lang w:eastAsia="ru-RU"/>
              </w:rPr>
              <w:t>1</w:t>
            </w:r>
          </w:p>
          <w:p w14:paraId="746931AA" w14:textId="77777777" w:rsidR="00E062E9" w:rsidRPr="009D4714" w:rsidRDefault="00E062E9" w:rsidP="00176397">
            <w:pPr>
              <w:pStyle w:val="af6"/>
              <w:rPr>
                <w:rFonts w:eastAsia="Times New Roman"/>
                <w:lang w:eastAsia="ru-RU"/>
              </w:rPr>
            </w:pPr>
          </w:p>
          <w:p w14:paraId="531494D2" w14:textId="3E73103E" w:rsidR="000B0F70" w:rsidRPr="009D4714" w:rsidRDefault="00DC2E06" w:rsidP="00176397">
            <w:pPr>
              <w:pStyle w:val="af6"/>
            </w:pPr>
            <w:r w:rsidRPr="009D4714">
              <w:t xml:space="preserve">Problema acumulării </w:t>
            </w:r>
            <w:r w:rsidR="00697296" w:rsidRPr="009D4714">
              <w:t xml:space="preserve">la OST </w:t>
            </w:r>
            <w:r w:rsidR="00697296">
              <w:t xml:space="preserve">q </w:t>
            </w:r>
            <w:r w:rsidRPr="009D4714">
              <w:t>costurilor, dar mai des</w:t>
            </w:r>
            <w:r w:rsidR="000B4E3F">
              <w:t xml:space="preserve"> a </w:t>
            </w:r>
            <w:r w:rsidRPr="009D4714">
              <w:t>veniturilor suplimentare provenite de la echilibrarea sistemului</w:t>
            </w:r>
            <w:r w:rsidR="00697296">
              <w:t xml:space="preserve"> electroenergetic</w:t>
            </w:r>
            <w:r w:rsidRPr="009D4714">
              <w:t xml:space="preserve">, care se datorează mecanismului de stabilire și aplicare a prețului pentru energia electrică de dezechilibru a apărut odată cu intrarea în vigoare a RPEE la data de 01.06.2022.  </w:t>
            </w:r>
          </w:p>
          <w:p w14:paraId="34C2E455" w14:textId="657159C5" w:rsidR="00CD70F6" w:rsidRPr="009D4714" w:rsidRDefault="00BA0A64" w:rsidP="007838E2">
            <w:pPr>
              <w:ind w:left="34" w:firstLine="573"/>
              <w:jc w:val="both"/>
            </w:pPr>
            <w:r w:rsidRPr="009D4714">
              <w:t>Astfel, rezultatele preliminare ale calculelor efectuate pentru anul 2022, arată că în cazul aplicării prevederilor din RPEE (fără plafonarea introdusă prin Dispoziția CSE nr. 68 din 10.05.2023)</w:t>
            </w:r>
            <w:r w:rsidR="005D1AB8">
              <w:t>,</w:t>
            </w:r>
            <w:r w:rsidRPr="009D4714">
              <w:t xml:space="preserve"> OST urma să acumuleze suplimentar cca 404 mil. lei. Acest fapt are un impact negativ asupra participanților pi</w:t>
            </w:r>
            <w:r w:rsidR="00697296">
              <w:t>e</w:t>
            </w:r>
            <w:r w:rsidRPr="009D4714">
              <w:t>ț</w:t>
            </w:r>
            <w:r w:rsidR="00697296">
              <w:t>ei</w:t>
            </w:r>
            <w:r w:rsidRPr="009D4714">
              <w:t xml:space="preserve"> energie</w:t>
            </w:r>
            <w:r w:rsidR="00697296">
              <w:t>i</w:t>
            </w:r>
            <w:r w:rsidRPr="009D4714">
              <w:t xml:space="preserve"> electric</w:t>
            </w:r>
            <w:r w:rsidR="00697296">
              <w:t>e</w:t>
            </w:r>
            <w:r w:rsidRPr="009D4714">
              <w:t>, condiționând îngreunarea situației financiare ale acestora</w:t>
            </w:r>
            <w:r w:rsidR="000B4E3F">
              <w:t xml:space="preserve"> (sau a unei părți a acestora, care nu participă la repartizarea venitului suplimentar acumulat)</w:t>
            </w:r>
            <w:r w:rsidRPr="009D4714">
              <w:t>, ceea ce poate duce în final la reducerea interesului investitorilor noi în particular în domeniul surselor de energie regenerabilă, sau mai grav la imposibilitatea participanților pi</w:t>
            </w:r>
            <w:r w:rsidR="00697296">
              <w:t>e</w:t>
            </w:r>
            <w:r w:rsidRPr="009D4714">
              <w:t>ț</w:t>
            </w:r>
            <w:r w:rsidR="00697296">
              <w:t xml:space="preserve">ei </w:t>
            </w:r>
            <w:r w:rsidRPr="009D4714">
              <w:t xml:space="preserve">de a </w:t>
            </w:r>
            <w:r w:rsidR="00697296">
              <w:t xml:space="preserve">desfășura </w:t>
            </w:r>
            <w:r w:rsidRPr="009D4714">
              <w:t>activ</w:t>
            </w:r>
            <w:r w:rsidR="00697296">
              <w:t xml:space="preserve">itatea de producere </w:t>
            </w:r>
            <w:r w:rsidRPr="009D4714">
              <w:t xml:space="preserve">a </w:t>
            </w:r>
            <w:r w:rsidR="00697296">
              <w:t xml:space="preserve">energiei electrice </w:t>
            </w:r>
            <w:r w:rsidRPr="009D4714">
              <w:t xml:space="preserve">în continuare. </w:t>
            </w:r>
          </w:p>
          <w:p w14:paraId="5DFAA4BF" w14:textId="4741B5E8" w:rsidR="00BA0A64" w:rsidRPr="009D4714" w:rsidRDefault="00BA0A64" w:rsidP="007838E2">
            <w:pPr>
              <w:ind w:left="34" w:firstLine="573"/>
              <w:jc w:val="both"/>
            </w:pPr>
            <w:r w:rsidRPr="009D4714">
              <w:t>Fără intervenția</w:t>
            </w:r>
            <w:r w:rsidR="00DC676E" w:rsidRPr="009D4714">
              <w:t xml:space="preserve"> propusă OST cel mai probabil va înregistra</w:t>
            </w:r>
            <w:r w:rsidR="00E1632B" w:rsidRPr="009D4714">
              <w:t xml:space="preserve">, </w:t>
            </w:r>
            <w:r w:rsidR="00D62691" w:rsidRPr="009D4714">
              <w:t>(</w:t>
            </w:r>
            <w:r w:rsidR="00E1632B" w:rsidRPr="009D4714">
              <w:t>cel puțin contabil</w:t>
            </w:r>
            <w:r w:rsidR="00D62691" w:rsidRPr="009D4714">
              <w:t>)</w:t>
            </w:r>
            <w:r w:rsidRPr="009D4714">
              <w:t xml:space="preserve"> </w:t>
            </w:r>
            <w:r w:rsidR="00E1632B" w:rsidRPr="009D4714">
              <w:t xml:space="preserve">în continuare venituri suplimentare legate de la echilibrarea sistemului electroenergetic, iar PRE-urile vor fi puse în situația în care v-or fi </w:t>
            </w:r>
            <w:r w:rsidR="00D62691" w:rsidRPr="009D4714">
              <w:t>taxați mai sever, în comparați</w:t>
            </w:r>
            <w:r w:rsidR="00E1632B" w:rsidRPr="009D4714">
              <w:t>e cu costurile real</w:t>
            </w:r>
            <w:r w:rsidR="00697296">
              <w:t>e</w:t>
            </w:r>
            <w:r w:rsidR="00E1632B" w:rsidRPr="009D4714">
              <w:t xml:space="preserve"> necesare pentru echilibrarea sistemului. O altă latură a scenariului de bază ar putea fi îngreunarea situației financiare a PRE-urilor astfel că acestea nu vor mai putea să își realizeze obligațiile contractuale cu O</w:t>
            </w:r>
            <w:r w:rsidR="00473E41">
              <w:t>ST</w:t>
            </w:r>
            <w:r w:rsidR="00D62691" w:rsidRPr="009D4714">
              <w:t xml:space="preserve"> în legătură cu responsabilitatea pentru echilibrare</w:t>
            </w:r>
            <w:r w:rsidR="00E1632B" w:rsidRPr="009D4714">
              <w:t>, iar acesta din urmă ar putea ajun</w:t>
            </w:r>
            <w:r w:rsidR="00D62691" w:rsidRPr="009D4714">
              <w:t>ge în situația de imposibilitate</w:t>
            </w:r>
            <w:r w:rsidR="00E1632B" w:rsidRPr="009D4714">
              <w:t xml:space="preserve"> a </w:t>
            </w:r>
            <w:r w:rsidR="00DB2833">
              <w:t>achitării</w:t>
            </w:r>
            <w:r w:rsidR="00697296">
              <w:t xml:space="preserve"> </w:t>
            </w:r>
            <w:r w:rsidR="00DB2833">
              <w:t>energiei</w:t>
            </w:r>
            <w:r w:rsidR="00E1632B" w:rsidRPr="009D4714">
              <w:t xml:space="preserve"> electric</w:t>
            </w:r>
            <w:r w:rsidR="00DB2833">
              <w:t>e</w:t>
            </w:r>
            <w:r w:rsidR="00E1632B" w:rsidRPr="009D4714">
              <w:t xml:space="preserve"> de echilibrare</w:t>
            </w:r>
            <w:r w:rsidR="00DB2833">
              <w:t xml:space="preserve"> care este decontată</w:t>
            </w:r>
            <w:r w:rsidR="00E1632B" w:rsidRPr="009D4714">
              <w:t xml:space="preserve"> prin intermediul mecanismului </w:t>
            </w:r>
            <w:proofErr w:type="spellStart"/>
            <w:r w:rsidR="00E1632B" w:rsidRPr="009D4714">
              <w:t>Fskar</w:t>
            </w:r>
            <w:proofErr w:type="spellEnd"/>
            <w:r w:rsidR="00E1632B" w:rsidRPr="009D4714">
              <w:t xml:space="preserve">. </w:t>
            </w:r>
          </w:p>
          <w:p w14:paraId="64C000D2" w14:textId="77777777" w:rsidR="00F33911" w:rsidRPr="009D4714" w:rsidRDefault="00F33911" w:rsidP="007838E2">
            <w:pPr>
              <w:ind w:left="34" w:firstLine="573"/>
              <w:jc w:val="both"/>
            </w:pPr>
          </w:p>
          <w:p w14:paraId="073B4AA8" w14:textId="26956B30" w:rsidR="00E7718E" w:rsidRDefault="00E7718E" w:rsidP="007838E2">
            <w:pPr>
              <w:ind w:left="34" w:firstLine="573"/>
              <w:jc w:val="both"/>
              <w:rPr>
                <w:i/>
                <w:u w:val="single"/>
              </w:rPr>
            </w:pPr>
            <w:r w:rsidRPr="009D4714">
              <w:rPr>
                <w:i/>
                <w:u w:val="single"/>
              </w:rPr>
              <w:t>Referitor la problema nr.</w:t>
            </w:r>
            <w:r w:rsidR="00797F2D" w:rsidRPr="009D4714">
              <w:rPr>
                <w:i/>
                <w:u w:val="single"/>
              </w:rPr>
              <w:t xml:space="preserve"> </w:t>
            </w:r>
            <w:r w:rsidRPr="009D4714">
              <w:rPr>
                <w:i/>
                <w:u w:val="single"/>
              </w:rPr>
              <w:t>2</w:t>
            </w:r>
          </w:p>
          <w:p w14:paraId="4D3DE0AF" w14:textId="77777777" w:rsidR="00E062E9" w:rsidRPr="009D4714" w:rsidRDefault="00E062E9" w:rsidP="007838E2">
            <w:pPr>
              <w:ind w:left="34" w:firstLine="573"/>
              <w:jc w:val="both"/>
              <w:rPr>
                <w:i/>
                <w:u w:val="single"/>
              </w:rPr>
            </w:pPr>
          </w:p>
          <w:p w14:paraId="1BF16FBF" w14:textId="4009131E" w:rsidR="00E86C25" w:rsidRPr="009D4714" w:rsidRDefault="006F28B9" w:rsidP="006F28B9">
            <w:pPr>
              <w:tabs>
                <w:tab w:val="left" w:pos="0"/>
                <w:tab w:val="left" w:pos="567"/>
                <w:tab w:val="left" w:pos="1418"/>
                <w:tab w:val="left" w:pos="2268"/>
              </w:tabs>
              <w:ind w:right="197" w:firstLine="595"/>
              <w:jc w:val="both"/>
            </w:pPr>
            <w:r w:rsidRPr="009D4714">
              <w:t xml:space="preserve">Formarea veniturilor sau costurilor suplimentare înregistrate de OST în procesul de echilibrare a sistemului electroenergetic reprezintă un </w:t>
            </w:r>
            <w:r w:rsidR="000B4E3F">
              <w:t>fenomen</w:t>
            </w:r>
            <w:r w:rsidRPr="009D4714">
              <w:t xml:space="preserve"> inevitabil în procesul de decontare a dezechilibrelor datorită faptului că există intervale de dispecerizare în care OST nu activează energie electrică de echilibrare</w:t>
            </w:r>
            <w:r w:rsidR="000B4E3F">
              <w:t xml:space="preserve"> (de creștere și/sau descreștere de putere)</w:t>
            </w:r>
            <w:r w:rsidRPr="009D4714">
              <w:t xml:space="preserve">, cu toate acestea fiind aplicat un preț atât pentru dezechilibrele negative, cât și pentru cele pozitive. </w:t>
            </w:r>
          </w:p>
          <w:p w14:paraId="48FD41A0" w14:textId="435F19ED" w:rsidR="0002202E" w:rsidRPr="009D4714" w:rsidRDefault="0002202E" w:rsidP="006F28B9">
            <w:pPr>
              <w:tabs>
                <w:tab w:val="left" w:pos="0"/>
                <w:tab w:val="left" w:pos="567"/>
                <w:tab w:val="left" w:pos="1418"/>
                <w:tab w:val="left" w:pos="2268"/>
              </w:tabs>
              <w:ind w:right="197" w:firstLine="595"/>
              <w:jc w:val="both"/>
            </w:pPr>
            <w:r w:rsidRPr="009D4714">
              <w:t>Subsecvent, considerând principiul de neutralitate financiară a OST care presupune că</w:t>
            </w:r>
            <w:r w:rsidR="00EA768C" w:rsidRPr="009D4714">
              <w:t xml:space="preserve">    </w:t>
            </w:r>
            <w:r w:rsidRPr="009D4714">
              <w:t xml:space="preserve"> Î.S.</w:t>
            </w:r>
            <w:r w:rsidR="00EA768C" w:rsidRPr="009D4714">
              <w:t xml:space="preserve"> </w:t>
            </w:r>
            <w:r w:rsidRPr="009D4714">
              <w:t>„Moldelectrica” nu trebuie să înregistreze nici venituri, nici cheltuieli în legătură cu echilibrarea sistemului</w:t>
            </w:r>
            <w:r w:rsidR="00697296">
              <w:t xml:space="preserve"> electroenergetic</w:t>
            </w:r>
            <w:r w:rsidR="00633C93" w:rsidRPr="009D4714">
              <w:t xml:space="preserve">, RPEE prevăd că pentru fiecare lună de </w:t>
            </w:r>
            <w:r w:rsidR="00697296">
              <w:t>gestiune</w:t>
            </w:r>
            <w:r w:rsidR="00633C93" w:rsidRPr="009D4714">
              <w:t>, acele venituri/costuri suplimentare urmează a fi repartizate către PRE-urile care și-au asumat responsabilitatea echilibrării pentru consumatorii finali. Respectiv</w:t>
            </w:r>
            <w:r w:rsidR="005D1AB8">
              <w:t>,</w:t>
            </w:r>
            <w:r w:rsidR="00EE203A" w:rsidRPr="009D4714">
              <w:t xml:space="preserve"> fără o intervenție în prevederile din RPEE</w:t>
            </w:r>
            <w:r w:rsidR="00633C93" w:rsidRPr="009D4714">
              <w:t xml:space="preserve">, </w:t>
            </w:r>
            <w:r w:rsidR="00EE203A" w:rsidRPr="009D4714">
              <w:t xml:space="preserve">va perpetua situația în care la formarea venitului/costului suplimentar înregistrat de OST vor participa toți </w:t>
            </w:r>
            <w:r w:rsidR="00697296">
              <w:t>participanții</w:t>
            </w:r>
            <w:r w:rsidR="00EE203A" w:rsidRPr="009D4714">
              <w:t xml:space="preserve"> pi</w:t>
            </w:r>
            <w:r w:rsidR="00697296">
              <w:t>e</w:t>
            </w:r>
            <w:r w:rsidR="00EE203A" w:rsidRPr="009D4714">
              <w:t>ț</w:t>
            </w:r>
            <w:r w:rsidR="00697296">
              <w:t>ei</w:t>
            </w:r>
            <w:r w:rsidR="00892F9F" w:rsidRPr="009D4714">
              <w:t xml:space="preserve"> (producători, operatori de sistem, furnizori)</w:t>
            </w:r>
            <w:r w:rsidR="00EE203A" w:rsidRPr="009D4714">
              <w:t xml:space="preserve">, iar </w:t>
            </w:r>
            <w:r w:rsidR="00697296">
              <w:t xml:space="preserve">repartizarea </w:t>
            </w:r>
            <w:r w:rsidR="00EE203A" w:rsidRPr="009D4714">
              <w:t>acestora va fi realizată doar către PRE-urile care furnizează energie electrică consumatori</w:t>
            </w:r>
            <w:r w:rsidR="00697296">
              <w:t>lor</w:t>
            </w:r>
            <w:r w:rsidR="00EE203A" w:rsidRPr="009D4714">
              <w:t xml:space="preserve"> finali de energie electrică. </w:t>
            </w:r>
            <w:r w:rsidR="00633C93" w:rsidRPr="009D4714">
              <w:t xml:space="preserve">  </w:t>
            </w:r>
          </w:p>
          <w:p w14:paraId="4ACA3FE1" w14:textId="5B3DE048" w:rsidR="00810087" w:rsidRDefault="00892F9F" w:rsidP="00693924">
            <w:pPr>
              <w:ind w:left="34" w:firstLine="573"/>
              <w:jc w:val="both"/>
            </w:pPr>
            <w:r w:rsidRPr="009D4714">
              <w:t xml:space="preserve">În acest context </w:t>
            </w:r>
            <w:r w:rsidR="00EF670A">
              <w:t xml:space="preserve">repartizarea </w:t>
            </w:r>
            <w:r w:rsidRPr="009D4714">
              <w:t xml:space="preserve">respectivă este una inechitabilă, pentru că nu asigură </w:t>
            </w:r>
            <w:r w:rsidR="00EA768C" w:rsidRPr="009D4714">
              <w:t>un</w:t>
            </w:r>
            <w:r w:rsidR="00D74B6F" w:rsidRPr="009D4714">
              <w:t xml:space="preserve"> cadru similar de </w:t>
            </w:r>
            <w:r w:rsidR="00EF670A">
              <w:t xml:space="preserve">repartizare </w:t>
            </w:r>
            <w:r w:rsidR="00D74B6F" w:rsidRPr="009D4714">
              <w:t>a potențialelor costuri sau venituri suplimentare către toți participanții pi</w:t>
            </w:r>
            <w:r w:rsidR="00EF670A">
              <w:t>e</w:t>
            </w:r>
            <w:r w:rsidR="00D74B6F" w:rsidRPr="009D4714">
              <w:t>ț</w:t>
            </w:r>
            <w:r w:rsidR="00EF670A">
              <w:t>ei</w:t>
            </w:r>
            <w:r w:rsidR="00D74B6F" w:rsidRPr="009D4714">
              <w:t xml:space="preserve"> energiei electrice. </w:t>
            </w:r>
          </w:p>
          <w:p w14:paraId="47117DAA" w14:textId="77777777" w:rsidR="00E062E9" w:rsidRPr="009D4714" w:rsidRDefault="00E062E9" w:rsidP="00693924">
            <w:pPr>
              <w:ind w:left="34" w:firstLine="573"/>
              <w:jc w:val="both"/>
            </w:pPr>
          </w:p>
          <w:p w14:paraId="3C05047D" w14:textId="748FE428" w:rsidR="00797F2D" w:rsidRDefault="00797F2D" w:rsidP="00797F2D">
            <w:pPr>
              <w:ind w:left="34" w:firstLine="573"/>
              <w:jc w:val="both"/>
              <w:rPr>
                <w:i/>
                <w:u w:val="single"/>
              </w:rPr>
            </w:pPr>
            <w:r w:rsidRPr="009D4714">
              <w:rPr>
                <w:i/>
                <w:u w:val="single"/>
              </w:rPr>
              <w:t>Referitor la problema nr. 3</w:t>
            </w:r>
          </w:p>
          <w:p w14:paraId="4F30D8A7" w14:textId="77777777" w:rsidR="00E062E9" w:rsidRPr="009D4714" w:rsidRDefault="00E062E9" w:rsidP="00797F2D">
            <w:pPr>
              <w:ind w:left="34" w:firstLine="573"/>
              <w:jc w:val="both"/>
              <w:rPr>
                <w:i/>
                <w:u w:val="single"/>
              </w:rPr>
            </w:pPr>
          </w:p>
          <w:p w14:paraId="021BFF88" w14:textId="1CF047F3" w:rsidR="000656D4" w:rsidRPr="009D4714" w:rsidRDefault="00EA768C" w:rsidP="00693924">
            <w:pPr>
              <w:ind w:left="34" w:firstLine="573"/>
              <w:jc w:val="both"/>
            </w:pPr>
            <w:r w:rsidRPr="009D4714">
              <w:t xml:space="preserve">Activitatea grupurilor de echilibrare </w:t>
            </w:r>
            <w:r w:rsidR="00C11DA3">
              <w:t xml:space="preserve">pe </w:t>
            </w:r>
            <w:r w:rsidRPr="009D4714">
              <w:t>pi</w:t>
            </w:r>
            <w:r w:rsidR="00C11DA3">
              <w:t>a</w:t>
            </w:r>
            <w:r w:rsidRPr="009D4714">
              <w:t>ț</w:t>
            </w:r>
            <w:r w:rsidR="00C11DA3">
              <w:t>a</w:t>
            </w:r>
            <w:r w:rsidRPr="009D4714">
              <w:t xml:space="preserve"> angro de energie electrică și anume aspectele care se referă la </w:t>
            </w:r>
            <w:r w:rsidR="00C11DA3">
              <w:t xml:space="preserve">repartizarea </w:t>
            </w:r>
            <w:r w:rsidRPr="009D4714">
              <w:t xml:space="preserve">rezultatului financiar (cost/venit) înregistrat de grupul de echilibrare către fiecare </w:t>
            </w:r>
            <w:r w:rsidR="00C11DA3">
              <w:t xml:space="preserve">membru </w:t>
            </w:r>
            <w:r w:rsidRPr="009D4714">
              <w:t>a</w:t>
            </w:r>
            <w:r w:rsidR="00C11DA3">
              <w:t>l</w:t>
            </w:r>
            <w:r w:rsidRPr="009D4714">
              <w:t xml:space="preserve"> grupului </w:t>
            </w:r>
            <w:r w:rsidR="00C11DA3">
              <w:t xml:space="preserve">de echilibrare </w:t>
            </w:r>
            <w:r w:rsidRPr="009D4714">
              <w:t xml:space="preserve">în funcție de dezechilibrele individuale înregistrate nu sunt reglementate la moment, în acest sens prevederile pct. 488 din RPEE prevăd că distribuția </w:t>
            </w:r>
            <w:r w:rsidRPr="009D4714">
              <w:lastRenderedPageBreak/>
              <w:t>acestora are loc conform acordurilor încheiate de</w:t>
            </w:r>
            <w:r w:rsidR="00C11DA3">
              <w:t xml:space="preserve"> responsabilul grupului de echilibrare cu </w:t>
            </w:r>
            <w:r w:rsidRPr="009D4714">
              <w:t xml:space="preserve"> PRE care constituie grupul de echilibrare. </w:t>
            </w:r>
          </w:p>
          <w:p w14:paraId="4429E96F" w14:textId="48702101" w:rsidR="00EA768C" w:rsidRPr="009D4714" w:rsidRDefault="007A64FB" w:rsidP="00693924">
            <w:pPr>
              <w:ind w:left="34" w:firstLine="573"/>
              <w:jc w:val="both"/>
            </w:pPr>
            <w:r w:rsidRPr="009D4714">
              <w:t>Astfel, în scopul</w:t>
            </w:r>
            <w:r w:rsidR="00A850F1">
              <w:t xml:space="preserve"> de a oferi un cadru de reglementare care poate fi aplicat de către grupuril</w:t>
            </w:r>
            <w:r w:rsidR="005D1AB8">
              <w:t>e</w:t>
            </w:r>
            <w:r w:rsidR="00A850F1">
              <w:t xml:space="preserve"> de echilibrare în procesul de alocare al</w:t>
            </w:r>
            <w:r w:rsidR="005D1AB8">
              <w:t>e</w:t>
            </w:r>
            <w:r w:rsidRPr="009D4714">
              <w:t xml:space="preserve"> costurilor/veniturilor obținute din activitatea </w:t>
            </w:r>
            <w:r w:rsidR="00A850F1">
              <w:t>acestora</w:t>
            </w:r>
            <w:r w:rsidRPr="009D4714">
              <w:t>, precum și pentru a crește gradul de transparență în activitatea acestora este necesară implementarea unui algoritm c</w:t>
            </w:r>
            <w:r w:rsidR="00A850F1">
              <w:t>are poate fi aplicat de toți participanții la piața de energie electrică care au convenit să se unească într-un grup de echilibrare</w:t>
            </w:r>
            <w:r w:rsidRPr="009D4714">
              <w:t xml:space="preserve">.  </w:t>
            </w:r>
          </w:p>
          <w:p w14:paraId="6BD40979" w14:textId="072338FD" w:rsidR="007A64FB" w:rsidRPr="009D4714" w:rsidRDefault="007A64FB" w:rsidP="00C11DA3">
            <w:pPr>
              <w:ind w:left="34" w:firstLine="573"/>
              <w:jc w:val="both"/>
            </w:pPr>
          </w:p>
        </w:tc>
      </w:tr>
      <w:tr w:rsidR="00FB609F" w:rsidRPr="009D4714" w14:paraId="5F9742E8"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CABA2F3" w14:textId="77777777" w:rsidR="00FB609F" w:rsidRPr="009D4714" w:rsidRDefault="00F62480" w:rsidP="00176397">
            <w:r w:rsidRPr="009D4714">
              <w:rPr>
                <w:b/>
                <w:i/>
              </w:rPr>
              <w:lastRenderedPageBreak/>
              <w:t>e) Descrie</w:t>
            </w:r>
            <w:r w:rsidR="00176397" w:rsidRPr="009D4714">
              <w:rPr>
                <w:b/>
                <w:i/>
              </w:rPr>
              <w:t>ț</w:t>
            </w:r>
            <w:r w:rsidRPr="009D4714">
              <w:rPr>
                <w:b/>
                <w:i/>
              </w:rPr>
              <w:t xml:space="preserve">i cadrul juridic actual aplicabil raporturilor analizate </w:t>
            </w:r>
            <w:r w:rsidR="00176397" w:rsidRPr="009D4714">
              <w:rPr>
                <w:b/>
                <w:i/>
              </w:rPr>
              <w:t>ș</w:t>
            </w:r>
            <w:r w:rsidR="00675F58" w:rsidRPr="009D4714">
              <w:rPr>
                <w:b/>
                <w:i/>
              </w:rPr>
              <w:t>i</w:t>
            </w:r>
            <w:r w:rsidRPr="009D4714">
              <w:rPr>
                <w:b/>
                <w:i/>
              </w:rPr>
              <w:t xml:space="preserve"> identifica</w:t>
            </w:r>
            <w:r w:rsidR="00176397" w:rsidRPr="009D4714">
              <w:rPr>
                <w:b/>
                <w:i/>
              </w:rPr>
              <w:t>ț</w:t>
            </w:r>
            <w:r w:rsidRPr="009D4714">
              <w:rPr>
                <w:b/>
                <w:i/>
              </w:rPr>
              <w:t>i caren</w:t>
            </w:r>
            <w:r w:rsidR="00176397" w:rsidRPr="009D4714">
              <w:rPr>
                <w:b/>
                <w:i/>
              </w:rPr>
              <w:t>ț</w:t>
            </w:r>
            <w:r w:rsidRPr="009D4714">
              <w:rPr>
                <w:b/>
                <w:i/>
              </w:rPr>
              <w:t>ele prevederilor normative în vigoare, identifica</w:t>
            </w:r>
            <w:r w:rsidR="00176397" w:rsidRPr="009D4714">
              <w:rPr>
                <w:b/>
                <w:i/>
              </w:rPr>
              <w:t>ț</w:t>
            </w:r>
            <w:r w:rsidRPr="009D4714">
              <w:rPr>
                <w:b/>
                <w:i/>
              </w:rPr>
              <w:t xml:space="preserve">i documentele de politici </w:t>
            </w:r>
            <w:r w:rsidR="00176397" w:rsidRPr="009D4714">
              <w:rPr>
                <w:b/>
                <w:i/>
              </w:rPr>
              <w:t>ș</w:t>
            </w:r>
            <w:r w:rsidR="00675F58" w:rsidRPr="009D4714">
              <w:rPr>
                <w:b/>
                <w:i/>
              </w:rPr>
              <w:t>i</w:t>
            </w:r>
            <w:r w:rsidRPr="009D4714">
              <w:rPr>
                <w:b/>
                <w:i/>
              </w:rPr>
              <w:t xml:space="preserve"> reglementările existente care condi</w:t>
            </w:r>
            <w:r w:rsidR="00176397" w:rsidRPr="009D4714">
              <w:rPr>
                <w:b/>
                <w:i/>
              </w:rPr>
              <w:t>ț</w:t>
            </w:r>
            <w:r w:rsidRPr="009D4714">
              <w:rPr>
                <w:b/>
                <w:i/>
              </w:rPr>
              <w:t>ionează interven</w:t>
            </w:r>
            <w:r w:rsidR="00176397" w:rsidRPr="009D4714">
              <w:rPr>
                <w:b/>
                <w:i/>
              </w:rPr>
              <w:t>ț</w:t>
            </w:r>
            <w:r w:rsidRPr="009D4714">
              <w:rPr>
                <w:b/>
                <w:i/>
              </w:rPr>
              <w:t>ia statului</w:t>
            </w:r>
          </w:p>
        </w:tc>
      </w:tr>
      <w:tr w:rsidR="00FB609F" w:rsidRPr="009D4714" w14:paraId="793C6AD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97F87BD" w14:textId="6AE4057E" w:rsidR="002475E7" w:rsidRPr="009D4714" w:rsidRDefault="0087359D" w:rsidP="004F4894">
            <w:pPr>
              <w:pStyle w:val="afa"/>
              <w:tabs>
                <w:tab w:val="left" w:pos="426"/>
              </w:tabs>
              <w:ind w:firstLine="709"/>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 xml:space="preserve">Cadrul juridic aplicabil raporturilor analizate </w:t>
            </w:r>
            <w:r w:rsidR="00C11DA3">
              <w:rPr>
                <w:rFonts w:ascii="Times New Roman" w:eastAsia="Times New Roman" w:hAnsi="Times New Roman"/>
                <w:sz w:val="24"/>
                <w:szCs w:val="24"/>
                <w:lang w:val="ro-RO" w:eastAsia="ru-RU"/>
              </w:rPr>
              <w:t xml:space="preserve">constituie </w:t>
            </w:r>
            <w:r w:rsidR="000B4E3F">
              <w:rPr>
                <w:rFonts w:ascii="Times New Roman" w:eastAsia="Times New Roman" w:hAnsi="Times New Roman"/>
                <w:sz w:val="24"/>
                <w:szCs w:val="24"/>
                <w:lang w:val="ro-RO" w:eastAsia="ru-RU"/>
              </w:rPr>
              <w:t>Reguli</w:t>
            </w:r>
            <w:r w:rsidR="00564B47">
              <w:rPr>
                <w:rFonts w:ascii="Times New Roman" w:eastAsia="Times New Roman" w:hAnsi="Times New Roman"/>
                <w:sz w:val="24"/>
                <w:szCs w:val="24"/>
                <w:lang w:val="ro-RO" w:eastAsia="ru-RU"/>
              </w:rPr>
              <w:t>l</w:t>
            </w:r>
            <w:r w:rsidR="000B4E3F">
              <w:rPr>
                <w:rFonts w:ascii="Times New Roman" w:eastAsia="Times New Roman" w:hAnsi="Times New Roman"/>
                <w:sz w:val="24"/>
                <w:szCs w:val="24"/>
                <w:lang w:val="ro-RO" w:eastAsia="ru-RU"/>
              </w:rPr>
              <w:t>e</w:t>
            </w:r>
            <w:r w:rsidRPr="009D4714">
              <w:rPr>
                <w:rFonts w:ascii="Times New Roman" w:eastAsia="Times New Roman" w:hAnsi="Times New Roman"/>
                <w:sz w:val="24"/>
                <w:szCs w:val="24"/>
                <w:lang w:val="ro-RO" w:eastAsia="ru-RU"/>
              </w:rPr>
              <w:t xml:space="preserve"> pieței energiei electrice, aprobate de</w:t>
            </w:r>
            <w:r w:rsidR="002475E7" w:rsidRPr="009D4714">
              <w:rPr>
                <w:rFonts w:ascii="Times New Roman" w:eastAsia="Times New Roman" w:hAnsi="Times New Roman"/>
                <w:sz w:val="24"/>
                <w:szCs w:val="24"/>
                <w:lang w:val="ro-RO" w:eastAsia="ru-RU"/>
              </w:rPr>
              <w:t xml:space="preserve"> ANRE în conformitate cu prevederile art. 3 </w:t>
            </w:r>
            <w:r w:rsidR="00C11DA3">
              <w:rPr>
                <w:rFonts w:ascii="Times New Roman" w:eastAsia="Times New Roman" w:hAnsi="Times New Roman"/>
                <w:sz w:val="24"/>
                <w:szCs w:val="24"/>
                <w:lang w:val="ro-RO" w:eastAsia="ru-RU"/>
              </w:rPr>
              <w:t xml:space="preserve">lit. </w:t>
            </w:r>
            <w:r w:rsidR="002475E7" w:rsidRPr="009D4714">
              <w:rPr>
                <w:rFonts w:ascii="Times New Roman" w:eastAsia="Times New Roman" w:hAnsi="Times New Roman"/>
                <w:sz w:val="24"/>
                <w:szCs w:val="24"/>
                <w:lang w:val="ro-RO" w:eastAsia="ru-RU"/>
              </w:rPr>
              <w:t xml:space="preserve"> a) din Legea</w:t>
            </w:r>
            <w:r w:rsidR="009D4714">
              <w:rPr>
                <w:rFonts w:ascii="Times New Roman" w:eastAsia="Times New Roman" w:hAnsi="Times New Roman"/>
                <w:sz w:val="24"/>
                <w:szCs w:val="24"/>
                <w:lang w:val="ro-RO" w:eastAsia="ru-RU"/>
              </w:rPr>
              <w:t xml:space="preserve"> cu privire la energia electrică</w:t>
            </w:r>
            <w:r w:rsidR="000B4E3F">
              <w:rPr>
                <w:rFonts w:ascii="Times New Roman" w:eastAsia="Times New Roman" w:hAnsi="Times New Roman"/>
                <w:sz w:val="24"/>
                <w:szCs w:val="24"/>
                <w:lang w:val="ro-RO" w:eastAsia="ru-RU"/>
              </w:rPr>
              <w:t xml:space="preserve"> nr. 107 din 27.05.2016</w:t>
            </w:r>
            <w:r w:rsidR="002475E7" w:rsidRPr="009D4714">
              <w:rPr>
                <w:rFonts w:ascii="Times New Roman" w:eastAsia="Times New Roman" w:hAnsi="Times New Roman"/>
                <w:sz w:val="24"/>
                <w:szCs w:val="24"/>
                <w:lang w:val="ro-RO" w:eastAsia="ru-RU"/>
              </w:rPr>
              <w:t xml:space="preserve"> care stipulează că Agenția elaborează şi aprobă Regulile pieţei energiei electrice care reglementează termenele şi condiţiile de organizare şi de operare a pieţei energiei electrice, inclusiv a pieţei pentru ziua următoare, a pieţei energiei electrice pe parcursul zilei, a pieţei organizate a contractelor, a pieţei energiei electrice de echilibrare şi a pieţei serviciilor de sistem, </w:t>
            </w:r>
            <w:r w:rsidR="00564B47" w:rsidRPr="009D4714">
              <w:rPr>
                <w:rFonts w:ascii="Times New Roman" w:eastAsia="Times New Roman" w:hAnsi="Times New Roman"/>
                <w:sz w:val="24"/>
                <w:szCs w:val="24"/>
                <w:lang w:val="ro-RO" w:eastAsia="ru-RU"/>
              </w:rPr>
              <w:t>funcțiile</w:t>
            </w:r>
            <w:r w:rsidR="002475E7" w:rsidRPr="009D4714">
              <w:rPr>
                <w:rFonts w:ascii="Times New Roman" w:eastAsia="Times New Roman" w:hAnsi="Times New Roman"/>
                <w:sz w:val="24"/>
                <w:szCs w:val="24"/>
                <w:lang w:val="ro-RO" w:eastAsia="ru-RU"/>
              </w:rPr>
              <w:t xml:space="preserve"> şi </w:t>
            </w:r>
            <w:r w:rsidR="00564B47" w:rsidRPr="009D4714">
              <w:rPr>
                <w:rFonts w:ascii="Times New Roman" w:eastAsia="Times New Roman" w:hAnsi="Times New Roman"/>
                <w:sz w:val="24"/>
                <w:szCs w:val="24"/>
                <w:lang w:val="ro-RO" w:eastAsia="ru-RU"/>
              </w:rPr>
              <w:t>obligațiile</w:t>
            </w:r>
            <w:r w:rsidR="002475E7" w:rsidRPr="009D4714">
              <w:rPr>
                <w:rFonts w:ascii="Times New Roman" w:eastAsia="Times New Roman" w:hAnsi="Times New Roman"/>
                <w:sz w:val="24"/>
                <w:szCs w:val="24"/>
                <w:lang w:val="ro-RO" w:eastAsia="ru-RU"/>
              </w:rPr>
              <w:t xml:space="preserve"> operatorului pieţei energiei electrice şi ale operatorului sistemului de transport în legătură cu gestionarea </w:t>
            </w:r>
            <w:r w:rsidR="00564B47" w:rsidRPr="009D4714">
              <w:rPr>
                <w:rFonts w:ascii="Times New Roman" w:eastAsia="Times New Roman" w:hAnsi="Times New Roman"/>
                <w:sz w:val="24"/>
                <w:szCs w:val="24"/>
                <w:lang w:val="ro-RO" w:eastAsia="ru-RU"/>
              </w:rPr>
              <w:t>piețelor</w:t>
            </w:r>
            <w:r w:rsidR="002475E7" w:rsidRPr="009D4714">
              <w:rPr>
                <w:rFonts w:ascii="Times New Roman" w:eastAsia="Times New Roman" w:hAnsi="Times New Roman"/>
                <w:sz w:val="24"/>
                <w:szCs w:val="24"/>
                <w:lang w:val="ro-RO" w:eastAsia="ru-RU"/>
              </w:rPr>
              <w:t xml:space="preserve"> </w:t>
            </w:r>
            <w:r w:rsidR="00564B47" w:rsidRPr="009D4714">
              <w:rPr>
                <w:rFonts w:ascii="Times New Roman" w:eastAsia="Times New Roman" w:hAnsi="Times New Roman"/>
                <w:sz w:val="24"/>
                <w:szCs w:val="24"/>
                <w:lang w:val="ro-RO" w:eastAsia="ru-RU"/>
              </w:rPr>
              <w:t>menționate</w:t>
            </w:r>
            <w:r w:rsidR="002475E7" w:rsidRPr="009D4714">
              <w:rPr>
                <w:rFonts w:ascii="Times New Roman" w:eastAsia="Times New Roman" w:hAnsi="Times New Roman"/>
                <w:sz w:val="24"/>
                <w:szCs w:val="24"/>
                <w:lang w:val="ro-RO" w:eastAsia="ru-RU"/>
              </w:rPr>
              <w:t xml:space="preserve">, precum şi drepturile şi </w:t>
            </w:r>
            <w:r w:rsidR="00564B47" w:rsidRPr="009D4714">
              <w:rPr>
                <w:rFonts w:ascii="Times New Roman" w:eastAsia="Times New Roman" w:hAnsi="Times New Roman"/>
                <w:sz w:val="24"/>
                <w:szCs w:val="24"/>
                <w:lang w:val="ro-RO" w:eastAsia="ru-RU"/>
              </w:rPr>
              <w:t>obligațiile</w:t>
            </w:r>
            <w:r w:rsidR="002475E7" w:rsidRPr="009D4714">
              <w:rPr>
                <w:rFonts w:ascii="Times New Roman" w:eastAsia="Times New Roman" w:hAnsi="Times New Roman"/>
                <w:sz w:val="24"/>
                <w:szCs w:val="24"/>
                <w:lang w:val="ro-RO" w:eastAsia="ru-RU"/>
              </w:rPr>
              <w:t xml:space="preserve"> altor </w:t>
            </w:r>
            <w:r w:rsidR="00564B47" w:rsidRPr="009D4714">
              <w:rPr>
                <w:rFonts w:ascii="Times New Roman" w:eastAsia="Times New Roman" w:hAnsi="Times New Roman"/>
                <w:sz w:val="24"/>
                <w:szCs w:val="24"/>
                <w:lang w:val="ro-RO" w:eastAsia="ru-RU"/>
              </w:rPr>
              <w:t>participanți</w:t>
            </w:r>
            <w:r w:rsidR="002475E7" w:rsidRPr="009D4714">
              <w:rPr>
                <w:rFonts w:ascii="Times New Roman" w:eastAsia="Times New Roman" w:hAnsi="Times New Roman"/>
                <w:sz w:val="24"/>
                <w:szCs w:val="24"/>
                <w:lang w:val="ro-RO" w:eastAsia="ru-RU"/>
              </w:rPr>
              <w:t xml:space="preserve"> la piaţa energiei electrice.</w:t>
            </w:r>
          </w:p>
          <w:p w14:paraId="0669F8D5" w14:textId="73833BA7" w:rsidR="002475E7" w:rsidRPr="009D4714" w:rsidRDefault="002475E7" w:rsidP="004F4894">
            <w:pPr>
              <w:pStyle w:val="afa"/>
              <w:tabs>
                <w:tab w:val="left" w:pos="426"/>
              </w:tabs>
              <w:ind w:firstLine="709"/>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 xml:space="preserve">Subsecvent art. 81 aliniat 3) al Legii menționate prevede că Regulile pieței energiei electrice reglementează în special: </w:t>
            </w:r>
          </w:p>
          <w:p w14:paraId="07E38CC8" w14:textId="0A7C25DE" w:rsidR="0087359D" w:rsidRPr="009D4714" w:rsidRDefault="002475E7" w:rsidP="002475E7">
            <w:pPr>
              <w:pStyle w:val="afa"/>
              <w:numPr>
                <w:ilvl w:val="0"/>
                <w:numId w:val="31"/>
              </w:numPr>
              <w:tabs>
                <w:tab w:val="left" w:pos="426"/>
              </w:tabs>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 xml:space="preserve">lit. l) drepturile şi </w:t>
            </w:r>
            <w:r w:rsidR="00564B47" w:rsidRPr="009D4714">
              <w:rPr>
                <w:rFonts w:ascii="Times New Roman" w:eastAsia="Times New Roman" w:hAnsi="Times New Roman"/>
                <w:sz w:val="24"/>
                <w:szCs w:val="24"/>
                <w:lang w:val="ro-RO" w:eastAsia="ru-RU"/>
              </w:rPr>
              <w:t>obligațiile</w:t>
            </w:r>
            <w:r w:rsidRPr="009D4714">
              <w:rPr>
                <w:rFonts w:ascii="Times New Roman" w:eastAsia="Times New Roman" w:hAnsi="Times New Roman"/>
                <w:sz w:val="24"/>
                <w:szCs w:val="24"/>
                <w:lang w:val="ro-RO" w:eastAsia="ru-RU"/>
              </w:rPr>
              <w:t xml:space="preserve"> </w:t>
            </w:r>
            <w:r w:rsidR="00564B47" w:rsidRPr="009D4714">
              <w:rPr>
                <w:rFonts w:ascii="Times New Roman" w:eastAsia="Times New Roman" w:hAnsi="Times New Roman"/>
                <w:sz w:val="24"/>
                <w:szCs w:val="24"/>
                <w:lang w:val="ro-RO" w:eastAsia="ru-RU"/>
              </w:rPr>
              <w:t>participanților</w:t>
            </w:r>
            <w:r w:rsidRPr="009D4714">
              <w:rPr>
                <w:rFonts w:ascii="Times New Roman" w:eastAsia="Times New Roman" w:hAnsi="Times New Roman"/>
                <w:sz w:val="24"/>
                <w:szCs w:val="24"/>
                <w:lang w:val="ro-RO" w:eastAsia="ru-RU"/>
              </w:rPr>
              <w:t xml:space="preserve"> la piaţa energiei electrice, inclusiv </w:t>
            </w:r>
            <w:r w:rsidR="00564B47" w:rsidRPr="009D4714">
              <w:rPr>
                <w:rFonts w:ascii="Times New Roman" w:eastAsia="Times New Roman" w:hAnsi="Times New Roman"/>
                <w:sz w:val="24"/>
                <w:szCs w:val="24"/>
                <w:lang w:val="ro-RO" w:eastAsia="ru-RU"/>
              </w:rPr>
              <w:t>obligațiile</w:t>
            </w:r>
            <w:r w:rsidRPr="009D4714">
              <w:rPr>
                <w:rFonts w:ascii="Times New Roman" w:eastAsia="Times New Roman" w:hAnsi="Times New Roman"/>
                <w:sz w:val="24"/>
                <w:szCs w:val="24"/>
                <w:lang w:val="ro-RO" w:eastAsia="ru-RU"/>
              </w:rPr>
              <w:t xml:space="preserve"> </w:t>
            </w:r>
            <w:r w:rsidR="00564B47" w:rsidRPr="009D4714">
              <w:rPr>
                <w:rFonts w:ascii="Times New Roman" w:eastAsia="Times New Roman" w:hAnsi="Times New Roman"/>
                <w:sz w:val="24"/>
                <w:szCs w:val="24"/>
                <w:lang w:val="ro-RO" w:eastAsia="ru-RU"/>
              </w:rPr>
              <w:t>participanților</w:t>
            </w:r>
            <w:r w:rsidRPr="009D4714">
              <w:rPr>
                <w:rFonts w:ascii="Times New Roman" w:eastAsia="Times New Roman" w:hAnsi="Times New Roman"/>
                <w:sz w:val="24"/>
                <w:szCs w:val="24"/>
                <w:lang w:val="ro-RO" w:eastAsia="ru-RU"/>
              </w:rPr>
              <w:t xml:space="preserve"> la piaţa energiei electrice care provoacă dezechilibre în </w:t>
            </w:r>
            <w:r w:rsidR="00564B47" w:rsidRPr="009D4714">
              <w:rPr>
                <w:rFonts w:ascii="Times New Roman" w:eastAsia="Times New Roman" w:hAnsi="Times New Roman"/>
                <w:sz w:val="24"/>
                <w:szCs w:val="24"/>
                <w:lang w:val="ro-RO" w:eastAsia="ru-RU"/>
              </w:rPr>
              <w:t>rețelele</w:t>
            </w:r>
            <w:r w:rsidRPr="009D4714">
              <w:rPr>
                <w:rFonts w:ascii="Times New Roman" w:eastAsia="Times New Roman" w:hAnsi="Times New Roman"/>
                <w:sz w:val="24"/>
                <w:szCs w:val="24"/>
                <w:lang w:val="ro-RO" w:eastAsia="ru-RU"/>
              </w:rPr>
              <w:t xml:space="preserve"> electrice;</w:t>
            </w:r>
          </w:p>
          <w:p w14:paraId="4302D28F" w14:textId="67BC035E" w:rsidR="002475E7" w:rsidRPr="009D4714" w:rsidRDefault="002475E7" w:rsidP="002475E7">
            <w:pPr>
              <w:pStyle w:val="afa"/>
              <w:numPr>
                <w:ilvl w:val="0"/>
                <w:numId w:val="31"/>
              </w:numPr>
              <w:tabs>
                <w:tab w:val="left" w:pos="426"/>
              </w:tabs>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lit. m) modalitatea de repartizare şi de compensare în cadrul grupului de echilibrare a dezechilibrelor individuale create de către membrii grupului de echilibrare;</w:t>
            </w:r>
          </w:p>
          <w:p w14:paraId="32DA2B67" w14:textId="3B89F41D" w:rsidR="002475E7" w:rsidRPr="009D4714" w:rsidRDefault="002475E7" w:rsidP="002475E7">
            <w:pPr>
              <w:pStyle w:val="afa"/>
              <w:numPr>
                <w:ilvl w:val="0"/>
                <w:numId w:val="31"/>
              </w:numPr>
              <w:tabs>
                <w:tab w:val="left" w:pos="426"/>
              </w:tabs>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 xml:space="preserve">lit. n) metodele de calcul al dezechilibrelor cantitative provocate de </w:t>
            </w:r>
            <w:r w:rsidR="00564B47" w:rsidRPr="009D4714">
              <w:rPr>
                <w:rFonts w:ascii="Times New Roman" w:eastAsia="Times New Roman" w:hAnsi="Times New Roman"/>
                <w:sz w:val="24"/>
                <w:szCs w:val="24"/>
                <w:lang w:val="ro-RO" w:eastAsia="ru-RU"/>
              </w:rPr>
              <w:t>pârțile</w:t>
            </w:r>
            <w:r w:rsidRPr="009D4714">
              <w:rPr>
                <w:rFonts w:ascii="Times New Roman" w:eastAsia="Times New Roman" w:hAnsi="Times New Roman"/>
                <w:sz w:val="24"/>
                <w:szCs w:val="24"/>
                <w:lang w:val="ro-RO" w:eastAsia="ru-RU"/>
              </w:rPr>
              <w:t xml:space="preserve"> responsabile de echilibrare şi al decontărilor financiare pentru dezechilibrele provocate pe piaţa energiei electrice de către </w:t>
            </w:r>
            <w:r w:rsidR="00564B47" w:rsidRPr="009D4714">
              <w:rPr>
                <w:rFonts w:ascii="Times New Roman" w:eastAsia="Times New Roman" w:hAnsi="Times New Roman"/>
                <w:sz w:val="24"/>
                <w:szCs w:val="24"/>
                <w:lang w:val="ro-RO" w:eastAsia="ru-RU"/>
              </w:rPr>
              <w:t>pârțile</w:t>
            </w:r>
            <w:r w:rsidRPr="009D4714">
              <w:rPr>
                <w:rFonts w:ascii="Times New Roman" w:eastAsia="Times New Roman" w:hAnsi="Times New Roman"/>
                <w:sz w:val="24"/>
                <w:szCs w:val="24"/>
                <w:lang w:val="ro-RO" w:eastAsia="ru-RU"/>
              </w:rPr>
              <w:t xml:space="preserve"> responsabile de echilibrare.</w:t>
            </w:r>
          </w:p>
          <w:p w14:paraId="07FBF33A" w14:textId="29E316AE" w:rsidR="002475E7" w:rsidRPr="009D4714" w:rsidRDefault="00191E96" w:rsidP="00191E96">
            <w:pPr>
              <w:pStyle w:val="afa"/>
              <w:tabs>
                <w:tab w:val="left" w:pos="426"/>
              </w:tabs>
              <w:ind w:firstLine="736"/>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Astfel</w:t>
            </w:r>
            <w:r w:rsidR="009B29AE" w:rsidRPr="009D4714">
              <w:rPr>
                <w:rFonts w:ascii="Times New Roman" w:eastAsia="Times New Roman" w:hAnsi="Times New Roman"/>
                <w:sz w:val="24"/>
                <w:szCs w:val="24"/>
                <w:lang w:val="ro-RO" w:eastAsia="ru-RU"/>
              </w:rPr>
              <w:t>,</w:t>
            </w:r>
            <w:r w:rsidRPr="009D4714">
              <w:rPr>
                <w:rFonts w:ascii="Times New Roman" w:eastAsia="Times New Roman" w:hAnsi="Times New Roman"/>
                <w:sz w:val="24"/>
                <w:szCs w:val="24"/>
                <w:lang w:val="ro-RO" w:eastAsia="ru-RU"/>
              </w:rPr>
              <w:t xml:space="preserve"> în conformitate cu pct. 1 din RPEE acestea stabilesc principiile, regulile şi mecanismele referitoare la formarea </w:t>
            </w:r>
            <w:r w:rsidR="00564B47" w:rsidRPr="009D4714">
              <w:rPr>
                <w:rFonts w:ascii="Times New Roman" w:eastAsia="Times New Roman" w:hAnsi="Times New Roman"/>
                <w:sz w:val="24"/>
                <w:szCs w:val="24"/>
                <w:lang w:val="ro-RO" w:eastAsia="ru-RU"/>
              </w:rPr>
              <w:t>prețurilor</w:t>
            </w:r>
            <w:r w:rsidRPr="009D4714">
              <w:rPr>
                <w:rFonts w:ascii="Times New Roman" w:eastAsia="Times New Roman" w:hAnsi="Times New Roman"/>
                <w:sz w:val="24"/>
                <w:szCs w:val="24"/>
                <w:lang w:val="ro-RO" w:eastAsia="ru-RU"/>
              </w:rPr>
              <w:t xml:space="preserve"> şi </w:t>
            </w:r>
            <w:r w:rsidR="00564B47" w:rsidRPr="009D4714">
              <w:rPr>
                <w:rFonts w:ascii="Times New Roman" w:eastAsia="Times New Roman" w:hAnsi="Times New Roman"/>
                <w:sz w:val="24"/>
                <w:szCs w:val="24"/>
                <w:lang w:val="ro-RO" w:eastAsia="ru-RU"/>
              </w:rPr>
              <w:t>relațiile</w:t>
            </w:r>
            <w:r w:rsidRPr="009D4714">
              <w:rPr>
                <w:rFonts w:ascii="Times New Roman" w:eastAsia="Times New Roman" w:hAnsi="Times New Roman"/>
                <w:sz w:val="24"/>
                <w:szCs w:val="24"/>
                <w:lang w:val="ro-RO" w:eastAsia="ru-RU"/>
              </w:rPr>
              <w:t xml:space="preserve"> comerciale pe piaţa angro de energie electrică între participanţii pi</w:t>
            </w:r>
            <w:r w:rsidR="00C11DA3">
              <w:rPr>
                <w:rFonts w:ascii="Times New Roman" w:eastAsia="Times New Roman" w:hAnsi="Times New Roman"/>
                <w:sz w:val="24"/>
                <w:szCs w:val="24"/>
                <w:lang w:val="ro-RO" w:eastAsia="ru-RU"/>
              </w:rPr>
              <w:t>e</w:t>
            </w:r>
            <w:r w:rsidRPr="009D4714">
              <w:rPr>
                <w:rFonts w:ascii="Times New Roman" w:eastAsia="Times New Roman" w:hAnsi="Times New Roman"/>
                <w:sz w:val="24"/>
                <w:szCs w:val="24"/>
                <w:lang w:val="ro-RO" w:eastAsia="ru-RU"/>
              </w:rPr>
              <w:t>ţ</w:t>
            </w:r>
            <w:r w:rsidR="00C11DA3">
              <w:rPr>
                <w:rFonts w:ascii="Times New Roman" w:eastAsia="Times New Roman" w:hAnsi="Times New Roman"/>
                <w:sz w:val="24"/>
                <w:szCs w:val="24"/>
                <w:lang w:val="ro-RO" w:eastAsia="ru-RU"/>
              </w:rPr>
              <w:t>ei</w:t>
            </w:r>
            <w:r w:rsidRPr="009D4714">
              <w:rPr>
                <w:rFonts w:ascii="Times New Roman" w:eastAsia="Times New Roman" w:hAnsi="Times New Roman"/>
                <w:sz w:val="24"/>
                <w:szCs w:val="24"/>
                <w:lang w:val="ro-RO" w:eastAsia="ru-RU"/>
              </w:rPr>
              <w:t xml:space="preserve"> energie</w:t>
            </w:r>
            <w:r w:rsidR="00C11DA3">
              <w:rPr>
                <w:rFonts w:ascii="Times New Roman" w:eastAsia="Times New Roman" w:hAnsi="Times New Roman"/>
                <w:sz w:val="24"/>
                <w:szCs w:val="24"/>
                <w:lang w:val="ro-RO" w:eastAsia="ru-RU"/>
              </w:rPr>
              <w:t>i</w:t>
            </w:r>
            <w:r w:rsidRPr="009D4714">
              <w:rPr>
                <w:rFonts w:ascii="Times New Roman" w:eastAsia="Times New Roman" w:hAnsi="Times New Roman"/>
                <w:sz w:val="24"/>
                <w:szCs w:val="24"/>
                <w:lang w:val="ro-RO" w:eastAsia="ru-RU"/>
              </w:rPr>
              <w:t xml:space="preserve"> electric</w:t>
            </w:r>
            <w:r w:rsidR="00C11DA3">
              <w:rPr>
                <w:rFonts w:ascii="Times New Roman" w:eastAsia="Times New Roman" w:hAnsi="Times New Roman"/>
                <w:sz w:val="24"/>
                <w:szCs w:val="24"/>
                <w:lang w:val="ro-RO" w:eastAsia="ru-RU"/>
              </w:rPr>
              <w:t>e</w:t>
            </w:r>
            <w:r w:rsidRPr="009D4714">
              <w:rPr>
                <w:rFonts w:ascii="Times New Roman" w:eastAsia="Times New Roman" w:hAnsi="Times New Roman"/>
                <w:sz w:val="24"/>
                <w:szCs w:val="24"/>
                <w:lang w:val="ro-RO" w:eastAsia="ru-RU"/>
              </w:rPr>
              <w:t xml:space="preserve">, reglementează termenele şi condiţiile de organizare şi </w:t>
            </w:r>
            <w:r w:rsidR="00564B47" w:rsidRPr="009D4714">
              <w:rPr>
                <w:rFonts w:ascii="Times New Roman" w:eastAsia="Times New Roman" w:hAnsi="Times New Roman"/>
                <w:sz w:val="24"/>
                <w:szCs w:val="24"/>
                <w:lang w:val="ro-RO" w:eastAsia="ru-RU"/>
              </w:rPr>
              <w:t>funcționare</w:t>
            </w:r>
            <w:r w:rsidRPr="009D4714">
              <w:rPr>
                <w:rFonts w:ascii="Times New Roman" w:eastAsia="Times New Roman" w:hAnsi="Times New Roman"/>
                <w:sz w:val="24"/>
                <w:szCs w:val="24"/>
                <w:lang w:val="ro-RO" w:eastAsia="ru-RU"/>
              </w:rPr>
              <w:t xml:space="preserve"> a pieţei energiei electrice, inclusiv piaţa contractelor bilaterale de energie electrică, piaţa energiei electrice pentru ziua următoare, piaţa energiei electrice pe parcursul zilei, piaţa energiei electrice de echilibrare şi piaţa serviciilor de sistem, drepturile şi </w:t>
            </w:r>
            <w:r w:rsidR="00564B47" w:rsidRPr="009D4714">
              <w:rPr>
                <w:rFonts w:ascii="Times New Roman" w:eastAsia="Times New Roman" w:hAnsi="Times New Roman"/>
                <w:sz w:val="24"/>
                <w:szCs w:val="24"/>
                <w:lang w:val="ro-RO" w:eastAsia="ru-RU"/>
              </w:rPr>
              <w:t>obligațiile</w:t>
            </w:r>
            <w:r w:rsidRPr="009D4714">
              <w:rPr>
                <w:rFonts w:ascii="Times New Roman" w:eastAsia="Times New Roman" w:hAnsi="Times New Roman"/>
                <w:sz w:val="24"/>
                <w:szCs w:val="24"/>
                <w:lang w:val="ro-RO" w:eastAsia="ru-RU"/>
              </w:rPr>
              <w:t xml:space="preserve"> producătorilor de energie electrică, furnizorilor de energie electrică, operatorilor sistemelor de distribuţie, precum şi a operatorului pieţei de energie electrică, a operatorului sistemului de transport privind gestionarea </w:t>
            </w:r>
            <w:r w:rsidR="00564B47" w:rsidRPr="009D4714">
              <w:rPr>
                <w:rFonts w:ascii="Times New Roman" w:eastAsia="Times New Roman" w:hAnsi="Times New Roman"/>
                <w:sz w:val="24"/>
                <w:szCs w:val="24"/>
                <w:lang w:val="ro-RO" w:eastAsia="ru-RU"/>
              </w:rPr>
              <w:t>piețelor</w:t>
            </w:r>
            <w:r w:rsidRPr="009D4714">
              <w:rPr>
                <w:rFonts w:ascii="Times New Roman" w:eastAsia="Times New Roman" w:hAnsi="Times New Roman"/>
                <w:sz w:val="24"/>
                <w:szCs w:val="24"/>
                <w:lang w:val="ro-RO" w:eastAsia="ru-RU"/>
              </w:rPr>
              <w:t xml:space="preserve"> </w:t>
            </w:r>
            <w:r w:rsidR="00564B47" w:rsidRPr="009D4714">
              <w:rPr>
                <w:rFonts w:ascii="Times New Roman" w:eastAsia="Times New Roman" w:hAnsi="Times New Roman"/>
                <w:sz w:val="24"/>
                <w:szCs w:val="24"/>
                <w:lang w:val="ro-RO" w:eastAsia="ru-RU"/>
              </w:rPr>
              <w:t>menționate</w:t>
            </w:r>
            <w:r w:rsidRPr="009D4714">
              <w:rPr>
                <w:rFonts w:ascii="Times New Roman" w:eastAsia="Times New Roman" w:hAnsi="Times New Roman"/>
                <w:sz w:val="24"/>
                <w:szCs w:val="24"/>
                <w:lang w:val="ro-RO" w:eastAsia="ru-RU"/>
              </w:rPr>
              <w:t>.</w:t>
            </w:r>
          </w:p>
          <w:p w14:paraId="3A6E72D0" w14:textId="071B5E11" w:rsidR="009D4714" w:rsidRDefault="009B29AE" w:rsidP="00191E96">
            <w:pPr>
              <w:pStyle w:val="afa"/>
              <w:tabs>
                <w:tab w:val="left" w:pos="426"/>
              </w:tabs>
              <w:ind w:firstLine="736"/>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Cu privire la carențele identificate în cadrul normativ aplicabil</w:t>
            </w:r>
            <w:r w:rsidR="009D4714" w:rsidRPr="009D4714">
              <w:rPr>
                <w:rFonts w:ascii="Times New Roman" w:eastAsia="Times New Roman" w:hAnsi="Times New Roman"/>
                <w:sz w:val="24"/>
                <w:szCs w:val="24"/>
                <w:lang w:val="ro-RO" w:eastAsia="ru-RU"/>
              </w:rPr>
              <w:t xml:space="preserve"> în legătură cu raporturile </w:t>
            </w:r>
            <w:r w:rsidR="009D4714">
              <w:rPr>
                <w:rFonts w:ascii="Times New Roman" w:eastAsia="Times New Roman" w:hAnsi="Times New Roman"/>
                <w:sz w:val="24"/>
                <w:szCs w:val="24"/>
                <w:lang w:val="ro-RO" w:eastAsia="ru-RU"/>
              </w:rPr>
              <w:t>juridice</w:t>
            </w:r>
            <w:r w:rsidR="009D4714" w:rsidRPr="009D4714">
              <w:rPr>
                <w:rFonts w:ascii="Times New Roman" w:eastAsia="Times New Roman" w:hAnsi="Times New Roman"/>
                <w:sz w:val="24"/>
                <w:szCs w:val="24"/>
                <w:lang w:val="ro-RO" w:eastAsia="ru-RU"/>
              </w:rPr>
              <w:t xml:space="preserve"> aplicabile,</w:t>
            </w:r>
            <w:r w:rsidR="009D4714">
              <w:rPr>
                <w:rFonts w:ascii="Times New Roman" w:eastAsia="Times New Roman" w:hAnsi="Times New Roman"/>
                <w:sz w:val="24"/>
                <w:szCs w:val="24"/>
                <w:lang w:val="ro-RO" w:eastAsia="ru-RU"/>
              </w:rPr>
              <w:t xml:space="preserve"> putem conchide că prevederile RPEE legate de decontarea dezechilibrelor părților responsabile</w:t>
            </w:r>
            <w:r w:rsidR="00CD42BA">
              <w:rPr>
                <w:rFonts w:ascii="Times New Roman" w:eastAsia="Times New Roman" w:hAnsi="Times New Roman"/>
                <w:sz w:val="24"/>
                <w:szCs w:val="24"/>
                <w:lang w:val="ro-RO" w:eastAsia="ru-RU"/>
              </w:rPr>
              <w:t xml:space="preserve"> </w:t>
            </w:r>
            <w:r w:rsidR="00C11DA3">
              <w:rPr>
                <w:rFonts w:ascii="Times New Roman" w:eastAsia="Times New Roman" w:hAnsi="Times New Roman"/>
                <w:sz w:val="24"/>
                <w:szCs w:val="24"/>
                <w:lang w:val="ro-RO" w:eastAsia="ru-RU"/>
              </w:rPr>
              <w:t xml:space="preserve">pentru </w:t>
            </w:r>
            <w:r w:rsidR="00CD42BA">
              <w:rPr>
                <w:rFonts w:ascii="Times New Roman" w:eastAsia="Times New Roman" w:hAnsi="Times New Roman"/>
                <w:sz w:val="24"/>
                <w:szCs w:val="24"/>
                <w:lang w:val="ro-RO" w:eastAsia="ru-RU"/>
              </w:rPr>
              <w:t xml:space="preserve">echilibrare și anume de stabilire a prețurilor pentru energie </w:t>
            </w:r>
            <w:r w:rsidR="00C11DA3">
              <w:rPr>
                <w:rFonts w:ascii="Times New Roman" w:eastAsia="Times New Roman" w:hAnsi="Times New Roman"/>
                <w:sz w:val="24"/>
                <w:szCs w:val="24"/>
                <w:lang w:val="ro-RO" w:eastAsia="ru-RU"/>
              </w:rPr>
              <w:t xml:space="preserve">electrică de echilibrare în caz </w:t>
            </w:r>
            <w:r w:rsidR="00CD42BA">
              <w:rPr>
                <w:rFonts w:ascii="Times New Roman" w:eastAsia="Times New Roman" w:hAnsi="Times New Roman"/>
                <w:sz w:val="24"/>
                <w:szCs w:val="24"/>
                <w:lang w:val="ro-RO" w:eastAsia="ru-RU"/>
              </w:rPr>
              <w:t xml:space="preserve">de deficit și </w:t>
            </w:r>
            <w:r w:rsidR="00C11DA3">
              <w:rPr>
                <w:rFonts w:ascii="Times New Roman" w:eastAsia="Times New Roman" w:hAnsi="Times New Roman"/>
                <w:sz w:val="24"/>
                <w:szCs w:val="24"/>
                <w:lang w:val="ro-RO" w:eastAsia="ru-RU"/>
              </w:rPr>
              <w:t xml:space="preserve">de </w:t>
            </w:r>
            <w:r w:rsidR="00CD42BA">
              <w:rPr>
                <w:rFonts w:ascii="Times New Roman" w:eastAsia="Times New Roman" w:hAnsi="Times New Roman"/>
                <w:sz w:val="24"/>
                <w:szCs w:val="24"/>
                <w:lang w:val="ro-RO" w:eastAsia="ru-RU"/>
              </w:rPr>
              <w:t>excedent</w:t>
            </w:r>
            <w:r w:rsidR="009D4714">
              <w:rPr>
                <w:rFonts w:ascii="Times New Roman" w:eastAsia="Times New Roman" w:hAnsi="Times New Roman"/>
                <w:sz w:val="24"/>
                <w:szCs w:val="24"/>
                <w:lang w:val="ro-RO" w:eastAsia="ru-RU"/>
              </w:rPr>
              <w:t xml:space="preserve"> </w:t>
            </w:r>
            <w:r w:rsidR="00CD42BA">
              <w:rPr>
                <w:rFonts w:ascii="Times New Roman" w:eastAsia="Times New Roman" w:hAnsi="Times New Roman"/>
                <w:sz w:val="24"/>
                <w:szCs w:val="24"/>
                <w:lang w:val="ro-RO" w:eastAsia="ru-RU"/>
              </w:rPr>
              <w:t>(pct. 690, 691)</w:t>
            </w:r>
            <w:r w:rsidR="009D4714">
              <w:rPr>
                <w:rFonts w:ascii="Times New Roman" w:eastAsia="Times New Roman" w:hAnsi="Times New Roman"/>
                <w:sz w:val="24"/>
                <w:szCs w:val="24"/>
                <w:lang w:val="ro-RO" w:eastAsia="ru-RU"/>
              </w:rPr>
              <w:t xml:space="preserve"> </w:t>
            </w:r>
            <w:r w:rsidR="00CD42BA" w:rsidRPr="000B4E3F">
              <w:rPr>
                <w:rFonts w:ascii="Times New Roman" w:eastAsia="Times New Roman" w:hAnsi="Times New Roman"/>
                <w:b/>
                <w:sz w:val="24"/>
                <w:szCs w:val="24"/>
                <w:u w:val="single"/>
                <w:lang w:val="ro-RO" w:eastAsia="ru-RU"/>
              </w:rPr>
              <w:t xml:space="preserve">nu neapărat </w:t>
            </w:r>
            <w:r w:rsidR="009D4714" w:rsidRPr="000B4E3F">
              <w:rPr>
                <w:rFonts w:ascii="Times New Roman" w:eastAsia="Times New Roman" w:hAnsi="Times New Roman"/>
                <w:b/>
                <w:sz w:val="24"/>
                <w:szCs w:val="24"/>
                <w:u w:val="single"/>
                <w:lang w:val="ro-RO" w:eastAsia="ru-RU"/>
              </w:rPr>
              <w:t>sunt deficiente</w:t>
            </w:r>
            <w:r w:rsidR="009D4714">
              <w:rPr>
                <w:rFonts w:ascii="Times New Roman" w:eastAsia="Times New Roman" w:hAnsi="Times New Roman"/>
                <w:sz w:val="24"/>
                <w:szCs w:val="24"/>
                <w:lang w:val="ro-RO" w:eastAsia="ru-RU"/>
              </w:rPr>
              <w:t xml:space="preserve">, cât nu reflectă condițiile actuale și anume conjunctura pieței existente (ex. irelevanța PZU din Ucraina, lipsa capacităților interne de echilibrare). </w:t>
            </w:r>
          </w:p>
          <w:p w14:paraId="0D8BE373" w14:textId="4411BA8F" w:rsidR="00CD42BA" w:rsidRDefault="009D4714" w:rsidP="00191E96">
            <w:pPr>
              <w:pStyle w:val="afa"/>
              <w:tabs>
                <w:tab w:val="left" w:pos="426"/>
              </w:tabs>
              <w:ind w:firstLine="73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În ceea ce ține de repartizarea veniturilor/costurilor suplimentare înregistrate de OST în procesul de echilibrare a sistemului</w:t>
            </w:r>
            <w:r w:rsidR="007976B2">
              <w:rPr>
                <w:rFonts w:ascii="Times New Roman" w:eastAsia="Times New Roman" w:hAnsi="Times New Roman"/>
                <w:sz w:val="24"/>
                <w:szCs w:val="24"/>
                <w:lang w:val="ro-RO" w:eastAsia="ru-RU"/>
              </w:rPr>
              <w:t xml:space="preserve"> electroenergetic</w:t>
            </w:r>
            <w:r>
              <w:rPr>
                <w:rFonts w:ascii="Times New Roman" w:eastAsia="Times New Roman" w:hAnsi="Times New Roman"/>
                <w:sz w:val="24"/>
                <w:szCs w:val="24"/>
                <w:lang w:val="ro-RO" w:eastAsia="ru-RU"/>
              </w:rPr>
              <w:t>, aici este necesară intervenția direcționată spre repartizarea acestora către toți participanții pi</w:t>
            </w:r>
            <w:r w:rsidR="007976B2">
              <w:rPr>
                <w:rFonts w:ascii="Times New Roman" w:eastAsia="Times New Roman" w:hAnsi="Times New Roman"/>
                <w:sz w:val="24"/>
                <w:szCs w:val="24"/>
                <w:lang w:val="ro-RO" w:eastAsia="ru-RU"/>
              </w:rPr>
              <w:t>e</w:t>
            </w:r>
            <w:r>
              <w:rPr>
                <w:rFonts w:ascii="Times New Roman" w:eastAsia="Times New Roman" w:hAnsi="Times New Roman"/>
                <w:sz w:val="24"/>
                <w:szCs w:val="24"/>
                <w:lang w:val="ro-RO" w:eastAsia="ru-RU"/>
              </w:rPr>
              <w:t>ț</w:t>
            </w:r>
            <w:r w:rsidR="007976B2">
              <w:rPr>
                <w:rFonts w:ascii="Times New Roman" w:eastAsia="Times New Roman" w:hAnsi="Times New Roman"/>
                <w:sz w:val="24"/>
                <w:szCs w:val="24"/>
                <w:lang w:val="ro-RO" w:eastAsia="ru-RU"/>
              </w:rPr>
              <w:t>ei</w:t>
            </w:r>
            <w:r>
              <w:rPr>
                <w:rFonts w:ascii="Times New Roman" w:eastAsia="Times New Roman" w:hAnsi="Times New Roman"/>
                <w:sz w:val="24"/>
                <w:szCs w:val="24"/>
                <w:lang w:val="ro-RO" w:eastAsia="ru-RU"/>
              </w:rPr>
              <w:t xml:space="preserve"> energie</w:t>
            </w:r>
            <w:r w:rsidR="007976B2">
              <w:rPr>
                <w:rFonts w:ascii="Times New Roman" w:eastAsia="Times New Roman" w:hAnsi="Times New Roman"/>
                <w:sz w:val="24"/>
                <w:szCs w:val="24"/>
                <w:lang w:val="ro-RO" w:eastAsia="ru-RU"/>
              </w:rPr>
              <w:t>i</w:t>
            </w:r>
            <w:r>
              <w:rPr>
                <w:rFonts w:ascii="Times New Roman" w:eastAsia="Times New Roman" w:hAnsi="Times New Roman"/>
                <w:sz w:val="24"/>
                <w:szCs w:val="24"/>
                <w:lang w:val="ro-RO" w:eastAsia="ru-RU"/>
              </w:rPr>
              <w:t xml:space="preserve"> electric</w:t>
            </w:r>
            <w:r w:rsidR="007976B2">
              <w:rPr>
                <w:rFonts w:ascii="Times New Roman" w:eastAsia="Times New Roman" w:hAnsi="Times New Roman"/>
                <w:sz w:val="24"/>
                <w:szCs w:val="24"/>
                <w:lang w:val="ro-RO" w:eastAsia="ru-RU"/>
              </w:rPr>
              <w:t>e</w:t>
            </w:r>
            <w:r>
              <w:rPr>
                <w:rFonts w:ascii="Times New Roman" w:eastAsia="Times New Roman" w:hAnsi="Times New Roman"/>
                <w:sz w:val="24"/>
                <w:szCs w:val="24"/>
                <w:lang w:val="ro-RO" w:eastAsia="ru-RU"/>
              </w:rPr>
              <w:t xml:space="preserve">, pentru a asigura echitatea distribuției veniturilor și costurilor către toți </w:t>
            </w:r>
            <w:r w:rsidR="007976B2">
              <w:rPr>
                <w:rFonts w:ascii="Times New Roman" w:eastAsia="Times New Roman" w:hAnsi="Times New Roman"/>
                <w:sz w:val="24"/>
                <w:szCs w:val="24"/>
                <w:lang w:val="ro-RO" w:eastAsia="ru-RU"/>
              </w:rPr>
              <w:t xml:space="preserve">participanții </w:t>
            </w:r>
            <w:r>
              <w:rPr>
                <w:rFonts w:ascii="Times New Roman" w:eastAsia="Times New Roman" w:hAnsi="Times New Roman"/>
                <w:sz w:val="24"/>
                <w:szCs w:val="24"/>
                <w:lang w:val="ro-RO" w:eastAsia="ru-RU"/>
              </w:rPr>
              <w:t>pi</w:t>
            </w:r>
            <w:r w:rsidR="007976B2">
              <w:rPr>
                <w:rFonts w:ascii="Times New Roman" w:eastAsia="Times New Roman" w:hAnsi="Times New Roman"/>
                <w:sz w:val="24"/>
                <w:szCs w:val="24"/>
                <w:lang w:val="ro-RO" w:eastAsia="ru-RU"/>
              </w:rPr>
              <w:t>e</w:t>
            </w:r>
            <w:r>
              <w:rPr>
                <w:rFonts w:ascii="Times New Roman" w:eastAsia="Times New Roman" w:hAnsi="Times New Roman"/>
                <w:sz w:val="24"/>
                <w:szCs w:val="24"/>
                <w:lang w:val="ro-RO" w:eastAsia="ru-RU"/>
              </w:rPr>
              <w:t>ț</w:t>
            </w:r>
            <w:r w:rsidR="007976B2">
              <w:rPr>
                <w:rFonts w:ascii="Times New Roman" w:eastAsia="Times New Roman" w:hAnsi="Times New Roman"/>
                <w:sz w:val="24"/>
                <w:szCs w:val="24"/>
                <w:lang w:val="ro-RO" w:eastAsia="ru-RU"/>
              </w:rPr>
              <w:t>ei</w:t>
            </w:r>
            <w:r>
              <w:rPr>
                <w:rFonts w:ascii="Times New Roman" w:eastAsia="Times New Roman" w:hAnsi="Times New Roman"/>
                <w:sz w:val="24"/>
                <w:szCs w:val="24"/>
                <w:lang w:val="ro-RO" w:eastAsia="ru-RU"/>
              </w:rPr>
              <w:t xml:space="preserve"> care sunt </w:t>
            </w:r>
            <w:r w:rsidR="005075DD">
              <w:rPr>
                <w:rFonts w:ascii="Times New Roman" w:eastAsia="Times New Roman" w:hAnsi="Times New Roman"/>
                <w:sz w:val="24"/>
                <w:szCs w:val="24"/>
                <w:lang w:val="ro-RO" w:eastAsia="ru-RU"/>
              </w:rPr>
              <w:t xml:space="preserve">responsabili pentru </w:t>
            </w:r>
            <w:r w:rsidR="005075DD">
              <w:rPr>
                <w:rFonts w:ascii="Times New Roman" w:eastAsia="Times New Roman" w:hAnsi="Times New Roman"/>
                <w:sz w:val="24"/>
                <w:szCs w:val="24"/>
                <w:lang w:val="ro-RO" w:eastAsia="ru-RU"/>
              </w:rPr>
              <w:lastRenderedPageBreak/>
              <w:t>dezechilibre</w:t>
            </w:r>
            <w:r>
              <w:rPr>
                <w:rFonts w:ascii="Times New Roman" w:eastAsia="Times New Roman" w:hAnsi="Times New Roman"/>
                <w:sz w:val="24"/>
                <w:szCs w:val="24"/>
                <w:lang w:val="ro-RO" w:eastAsia="ru-RU"/>
              </w:rPr>
              <w:t xml:space="preserve"> și care respectiv au contribuit la formarea venitului/costului suplimentar. </w:t>
            </w:r>
            <w:r w:rsidR="005075DD">
              <w:rPr>
                <w:rFonts w:ascii="Times New Roman" w:eastAsia="Times New Roman" w:hAnsi="Times New Roman"/>
                <w:sz w:val="24"/>
                <w:szCs w:val="24"/>
                <w:lang w:val="ro-RO" w:eastAsia="ru-RU"/>
              </w:rPr>
              <w:t xml:space="preserve">După cum a fost menționat redacția actuală a pct. 707 din RPEE prevedere repartizarea venitului/costului suplimentar </w:t>
            </w:r>
            <w:r w:rsidR="005075DD" w:rsidRPr="00AC0438">
              <w:rPr>
                <w:rFonts w:ascii="Times New Roman" w:eastAsia="Times New Roman" w:hAnsi="Times New Roman"/>
                <w:sz w:val="24"/>
                <w:szCs w:val="24"/>
                <w:lang w:val="ro-RO" w:eastAsia="ru-RU"/>
              </w:rPr>
              <w:t>înregistrat de OST</w:t>
            </w:r>
            <w:r w:rsidR="000B4E3F">
              <w:rPr>
                <w:rFonts w:ascii="Times New Roman" w:eastAsia="Times New Roman" w:hAnsi="Times New Roman"/>
                <w:sz w:val="24"/>
                <w:szCs w:val="24"/>
                <w:lang w:val="ro-RO" w:eastAsia="ru-RU"/>
              </w:rPr>
              <w:t xml:space="preserve"> doar</w:t>
            </w:r>
            <w:r w:rsidR="005075DD" w:rsidRPr="00AC0438">
              <w:rPr>
                <w:rFonts w:ascii="Times New Roman" w:eastAsia="Times New Roman" w:hAnsi="Times New Roman"/>
                <w:sz w:val="24"/>
                <w:szCs w:val="24"/>
                <w:lang w:val="ro-RO" w:eastAsia="ru-RU"/>
              </w:rPr>
              <w:t xml:space="preserve"> către PRE-urile care furnizează energie electrică consumatorilor finali.</w:t>
            </w:r>
          </w:p>
          <w:p w14:paraId="14DE8270" w14:textId="772EEAA5" w:rsidR="00191E96" w:rsidRPr="00CD42BA" w:rsidRDefault="00343C31" w:rsidP="00191E96">
            <w:pPr>
              <w:pStyle w:val="afa"/>
              <w:tabs>
                <w:tab w:val="left" w:pos="426"/>
              </w:tabs>
              <w:ind w:firstLine="736"/>
              <w:jc w:val="both"/>
              <w:rPr>
                <w:rFonts w:ascii="Times New Roman" w:eastAsia="Times New Roman" w:hAnsi="Times New Roman"/>
                <w:color w:val="FF0000"/>
                <w:sz w:val="24"/>
                <w:szCs w:val="24"/>
                <w:lang w:val="ro-RO" w:eastAsia="ru-RU"/>
              </w:rPr>
            </w:pPr>
            <w:r>
              <w:rPr>
                <w:rFonts w:ascii="Times New Roman" w:eastAsia="Times New Roman" w:hAnsi="Times New Roman"/>
                <w:sz w:val="24"/>
                <w:szCs w:val="24"/>
                <w:lang w:val="ro-RO" w:eastAsia="ru-RU"/>
              </w:rPr>
              <w:t xml:space="preserve">Cu referință la problema 3 și anume algoritmul de alocare al costurilor și veniturilor membrilor grupurilor de echilibrare rezultate din activitatea grupului de echilibrare este de menționat că Legea </w:t>
            </w:r>
            <w:r w:rsidR="007976B2">
              <w:rPr>
                <w:rFonts w:ascii="Times New Roman" w:eastAsia="Times New Roman" w:hAnsi="Times New Roman"/>
                <w:sz w:val="24"/>
                <w:szCs w:val="24"/>
                <w:lang w:val="ro-RO" w:eastAsia="ru-RU"/>
              </w:rPr>
              <w:t xml:space="preserve">cu privire la energia electrică </w:t>
            </w:r>
            <w:r>
              <w:rPr>
                <w:rFonts w:ascii="Times New Roman" w:eastAsia="Times New Roman" w:hAnsi="Times New Roman"/>
                <w:sz w:val="24"/>
                <w:szCs w:val="24"/>
                <w:lang w:val="ro-RO" w:eastAsia="ru-RU"/>
              </w:rPr>
              <w:t xml:space="preserve">prevede că RPEE urmează să conțină mecanismul respectiv. </w:t>
            </w:r>
            <w:r w:rsidR="005075DD" w:rsidRPr="00CD42BA">
              <w:rPr>
                <w:rFonts w:ascii="Times New Roman" w:eastAsia="Times New Roman" w:hAnsi="Times New Roman"/>
                <w:color w:val="FF0000"/>
                <w:sz w:val="24"/>
                <w:szCs w:val="24"/>
                <w:lang w:val="ro-RO" w:eastAsia="ru-RU"/>
              </w:rPr>
              <w:t xml:space="preserve"> </w:t>
            </w:r>
            <w:r w:rsidR="009D4714" w:rsidRPr="00CD42BA">
              <w:rPr>
                <w:rFonts w:ascii="Times New Roman" w:eastAsia="Times New Roman" w:hAnsi="Times New Roman"/>
                <w:color w:val="FF0000"/>
                <w:sz w:val="24"/>
                <w:szCs w:val="24"/>
                <w:lang w:val="ro-RO" w:eastAsia="ru-RU"/>
              </w:rPr>
              <w:t xml:space="preserve"> </w:t>
            </w:r>
          </w:p>
          <w:p w14:paraId="011105C4" w14:textId="23AB006B" w:rsidR="00C83246" w:rsidRPr="009D4714" w:rsidRDefault="004F4894" w:rsidP="004F4894">
            <w:pPr>
              <w:pStyle w:val="afa"/>
              <w:tabs>
                <w:tab w:val="left" w:pos="426"/>
              </w:tabs>
              <w:ind w:firstLine="709"/>
              <w:jc w:val="both"/>
              <w:rPr>
                <w:rFonts w:ascii="Times New Roman" w:eastAsia="Times New Roman" w:hAnsi="Times New Roman"/>
                <w:sz w:val="24"/>
                <w:szCs w:val="24"/>
                <w:lang w:val="ro-RO" w:eastAsia="ru-RU"/>
              </w:rPr>
            </w:pPr>
            <w:r w:rsidRPr="009D4714">
              <w:rPr>
                <w:rFonts w:ascii="Times New Roman" w:eastAsia="Times New Roman" w:hAnsi="Times New Roman"/>
                <w:sz w:val="24"/>
                <w:szCs w:val="24"/>
                <w:lang w:val="ro-RO" w:eastAsia="ru-RU"/>
              </w:rPr>
              <w:t>Astfel</w:t>
            </w:r>
            <w:r w:rsidR="00CD42BA">
              <w:rPr>
                <w:rFonts w:ascii="Times New Roman" w:eastAsia="Times New Roman" w:hAnsi="Times New Roman"/>
                <w:sz w:val="24"/>
                <w:szCs w:val="24"/>
                <w:lang w:val="ro-RO" w:eastAsia="ru-RU"/>
              </w:rPr>
              <w:t>,</w:t>
            </w:r>
            <w:r w:rsidRPr="009D4714">
              <w:rPr>
                <w:rFonts w:ascii="Times New Roman" w:eastAsia="Times New Roman" w:hAnsi="Times New Roman"/>
                <w:sz w:val="24"/>
                <w:szCs w:val="24"/>
                <w:lang w:val="ro-RO" w:eastAsia="ru-RU"/>
              </w:rPr>
              <w:t xml:space="preserve"> constatăm că soluțiile la proble</w:t>
            </w:r>
            <w:r w:rsidR="00CD42BA">
              <w:rPr>
                <w:rFonts w:ascii="Times New Roman" w:eastAsia="Times New Roman" w:hAnsi="Times New Roman"/>
                <w:sz w:val="24"/>
                <w:szCs w:val="24"/>
                <w:lang w:val="ro-RO" w:eastAsia="ru-RU"/>
              </w:rPr>
              <w:t>mele identificate și descrise</w:t>
            </w:r>
            <w:r w:rsidRPr="009D4714">
              <w:rPr>
                <w:rFonts w:ascii="Times New Roman" w:eastAsia="Times New Roman" w:hAnsi="Times New Roman"/>
                <w:sz w:val="24"/>
                <w:szCs w:val="24"/>
                <w:lang w:val="ro-RO" w:eastAsia="ru-RU"/>
              </w:rPr>
              <w:t xml:space="preserve"> la lit. a) – d) a prezentei analize</w:t>
            </w:r>
            <w:r w:rsidR="00124E46" w:rsidRPr="009D4714">
              <w:rPr>
                <w:rFonts w:ascii="Times New Roman" w:eastAsia="Times New Roman" w:hAnsi="Times New Roman"/>
                <w:sz w:val="24"/>
                <w:szCs w:val="24"/>
                <w:lang w:val="ro-RO" w:eastAsia="ru-RU"/>
              </w:rPr>
              <w:t xml:space="preserve"> urmează a fi incluse în </w:t>
            </w:r>
            <w:r w:rsidR="00CD42BA">
              <w:rPr>
                <w:rFonts w:ascii="Times New Roman" w:eastAsia="Times New Roman" w:hAnsi="Times New Roman"/>
                <w:sz w:val="24"/>
                <w:szCs w:val="24"/>
                <w:lang w:val="ro-RO" w:eastAsia="ru-RU"/>
              </w:rPr>
              <w:t>Regulile pieței energiei electrice</w:t>
            </w:r>
            <w:r w:rsidR="00124E46" w:rsidRPr="009D4714">
              <w:rPr>
                <w:rFonts w:ascii="Times New Roman" w:eastAsia="Times New Roman" w:hAnsi="Times New Roman"/>
                <w:sz w:val="24"/>
                <w:szCs w:val="24"/>
                <w:lang w:val="ro-RO" w:eastAsia="ru-RU"/>
              </w:rPr>
              <w:t>.</w:t>
            </w:r>
          </w:p>
          <w:p w14:paraId="5628E094" w14:textId="3885D389" w:rsidR="00A776A2" w:rsidRPr="009D4714" w:rsidRDefault="00A776A2" w:rsidP="004F4894">
            <w:pPr>
              <w:pStyle w:val="afa"/>
              <w:tabs>
                <w:tab w:val="left" w:pos="426"/>
              </w:tabs>
              <w:ind w:firstLine="709"/>
              <w:jc w:val="both"/>
              <w:rPr>
                <w:lang w:val="ro-RO" w:eastAsia="ro-RO"/>
              </w:rPr>
            </w:pPr>
          </w:p>
        </w:tc>
      </w:tr>
      <w:tr w:rsidR="00FB609F" w:rsidRPr="009D4714" w14:paraId="78381DF2"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DDB116C" w14:textId="77777777" w:rsidR="00FB609F" w:rsidRPr="009D4714" w:rsidRDefault="00F62480" w:rsidP="00176397">
            <w:r w:rsidRPr="009D4714">
              <w:rPr>
                <w:b/>
              </w:rPr>
              <w:lastRenderedPageBreak/>
              <w:t>2. Stabilirea obiectivelor</w:t>
            </w:r>
          </w:p>
        </w:tc>
      </w:tr>
      <w:tr w:rsidR="00FB609F" w:rsidRPr="009D4714" w14:paraId="3C7ED800" w14:textId="77777777" w:rsidTr="007920FA">
        <w:trPr>
          <w:trHeight w:val="760"/>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E1B238" w14:textId="77777777" w:rsidR="00FB609F" w:rsidRPr="009D4714" w:rsidRDefault="00F62480" w:rsidP="00176397">
            <w:r w:rsidRPr="009D4714">
              <w:rPr>
                <w:b/>
                <w:i/>
              </w:rPr>
              <w:t>a) Expune</w:t>
            </w:r>
            <w:r w:rsidR="00176397" w:rsidRPr="009D4714">
              <w:rPr>
                <w:b/>
                <w:i/>
              </w:rPr>
              <w:t>ț</w:t>
            </w:r>
            <w:r w:rsidRPr="009D4714">
              <w:rPr>
                <w:b/>
                <w:i/>
              </w:rPr>
              <w:t xml:space="preserve">i obiectivele (care trebuie să fie legate direct de problemă </w:t>
            </w:r>
            <w:r w:rsidR="00176397" w:rsidRPr="009D4714">
              <w:rPr>
                <w:b/>
                <w:i/>
              </w:rPr>
              <w:t>ș</w:t>
            </w:r>
            <w:r w:rsidRPr="009D4714">
              <w:rPr>
                <w:b/>
                <w:i/>
              </w:rPr>
              <w:t xml:space="preserve">i cauzele acesteia, formulate cuantificat, măsurabil, fixat în timp </w:t>
            </w:r>
            <w:r w:rsidR="00176397" w:rsidRPr="009D4714">
              <w:rPr>
                <w:b/>
                <w:i/>
              </w:rPr>
              <w:t>ș</w:t>
            </w:r>
            <w:r w:rsidRPr="009D4714">
              <w:rPr>
                <w:b/>
                <w:i/>
              </w:rPr>
              <w:t>i realist)</w:t>
            </w:r>
          </w:p>
        </w:tc>
      </w:tr>
      <w:tr w:rsidR="00FB609F" w:rsidRPr="009D4714" w14:paraId="537DF55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93140AE" w14:textId="6434AF7E" w:rsidR="003C426E" w:rsidRPr="009D4714" w:rsidRDefault="00F62480" w:rsidP="00176397">
            <w:pPr>
              <w:ind w:firstLine="307"/>
              <w:jc w:val="both"/>
              <w:rPr>
                <w:bCs/>
                <w:lang w:eastAsia="ja-JP"/>
              </w:rPr>
            </w:pPr>
            <w:r w:rsidRPr="009D4714">
              <w:t xml:space="preserve">Prin promovarea proiectului </w:t>
            </w:r>
            <w:r w:rsidR="00135230" w:rsidRPr="009D4714">
              <w:t xml:space="preserve">de modificare a </w:t>
            </w:r>
            <w:r w:rsidR="005B07D6">
              <w:rPr>
                <w:i/>
                <w:lang w:eastAsia="ro-RO"/>
              </w:rPr>
              <w:t>R</w:t>
            </w:r>
            <w:r w:rsidR="00A97CEA">
              <w:rPr>
                <w:i/>
                <w:lang w:eastAsia="ro-RO"/>
              </w:rPr>
              <w:t>egulilor</w:t>
            </w:r>
            <w:r w:rsidR="005B07D6">
              <w:rPr>
                <w:i/>
                <w:lang w:eastAsia="ro-RO"/>
              </w:rPr>
              <w:t xml:space="preserve"> pieței energiei electrice</w:t>
            </w:r>
            <w:r w:rsidR="00135230" w:rsidRPr="009D4714">
              <w:rPr>
                <w:i/>
                <w:lang w:eastAsia="ro-RO"/>
              </w:rPr>
              <w:t xml:space="preserve"> </w:t>
            </w:r>
            <w:r w:rsidRPr="009D4714">
              <w:t>se urmăre</w:t>
            </w:r>
            <w:r w:rsidR="00176397" w:rsidRPr="009D4714">
              <w:t>ș</w:t>
            </w:r>
            <w:r w:rsidRPr="009D4714">
              <w:t>te realizarea următoarelor obiective:</w:t>
            </w:r>
          </w:p>
          <w:p w14:paraId="1017A958" w14:textId="62448657" w:rsidR="00135230" w:rsidRDefault="005B07D6" w:rsidP="005B07D6">
            <w:pPr>
              <w:numPr>
                <w:ilvl w:val="0"/>
                <w:numId w:val="7"/>
              </w:numPr>
              <w:jc w:val="both"/>
            </w:pPr>
            <w:r>
              <w:t>Reducerea sarcinii financiare asupra participanților pi</w:t>
            </w:r>
            <w:r w:rsidR="00075922">
              <w:t>e</w:t>
            </w:r>
            <w:r>
              <w:t>ț</w:t>
            </w:r>
            <w:r w:rsidR="00075922">
              <w:t>ei</w:t>
            </w:r>
            <w:r>
              <w:t xml:space="preserve"> energiei electrice</w:t>
            </w:r>
            <w:r w:rsidR="0096447F">
              <w:t>, prin modificarea mecanismului de calculare și decontare a</w:t>
            </w:r>
            <w:r w:rsidR="00942122">
              <w:t>l</w:t>
            </w:r>
            <w:r w:rsidR="0096447F">
              <w:t xml:space="preserve"> dezechilibrelor și astfel micșorarea fondului suplimentar acumulat de OST în procesul de echilibrare al sistemului electroenergetic</w:t>
            </w:r>
            <w:r>
              <w:t xml:space="preserve">; </w:t>
            </w:r>
          </w:p>
          <w:p w14:paraId="0F03379A" w14:textId="0853A1A7" w:rsidR="005B07D6" w:rsidRDefault="0096447F" w:rsidP="005B07D6">
            <w:pPr>
              <w:numPr>
                <w:ilvl w:val="0"/>
                <w:numId w:val="7"/>
              </w:numPr>
              <w:jc w:val="both"/>
            </w:pPr>
            <w:r>
              <w:t>Tranziția de la utilizarea prețului de referință a PZU din Ucraina în procesul de stabilire a prețului pentru dezechilibre, către referința internă și anume prețul mediu lunar ponderat al energiei</w:t>
            </w:r>
            <w:r w:rsidR="00A97CEA">
              <w:t xml:space="preserve"> electrice achiziționate de furnizorii reglementați, cu excepția energiei </w:t>
            </w:r>
            <w:r w:rsidR="00075922">
              <w:t xml:space="preserve">electrice </w:t>
            </w:r>
            <w:r w:rsidR="00A97CEA">
              <w:t xml:space="preserve">achiziționate în </w:t>
            </w:r>
            <w:r w:rsidR="00075922">
              <w:t xml:space="preserve">baza </w:t>
            </w:r>
            <w:r w:rsidR="00A97CEA">
              <w:t xml:space="preserve">schemelor de sprijin </w:t>
            </w:r>
            <w:r w:rsidR="00075922">
              <w:t xml:space="preserve">pentru energia electrică produsă din surse regenerabile </w:t>
            </w:r>
            <w:r w:rsidR="00A97CEA">
              <w:t>și cea pro</w:t>
            </w:r>
            <w:r w:rsidR="00075922">
              <w:t xml:space="preserve">dusă </w:t>
            </w:r>
            <w:r w:rsidR="00A97CEA">
              <w:t xml:space="preserve"> la centralele electrice de termoficare urbane</w:t>
            </w:r>
            <w:r w:rsidR="005B07D6">
              <w:t>;</w:t>
            </w:r>
          </w:p>
          <w:p w14:paraId="33114E96" w14:textId="7C8FB2A7" w:rsidR="005B07D6" w:rsidRDefault="009E42FF" w:rsidP="005B07D6">
            <w:pPr>
              <w:numPr>
                <w:ilvl w:val="0"/>
                <w:numId w:val="7"/>
              </w:numPr>
              <w:jc w:val="both"/>
            </w:pPr>
            <w:r>
              <w:t>Asigurarea neutralității</w:t>
            </w:r>
            <w:r w:rsidR="005B07D6">
              <w:t xml:space="preserve"> </w:t>
            </w:r>
            <w:r>
              <w:t>financiare</w:t>
            </w:r>
            <w:r w:rsidR="005B07D6">
              <w:t xml:space="preserve"> a </w:t>
            </w:r>
            <w:r>
              <w:t>OST, care prevede că acesta în calitate</w:t>
            </w:r>
            <w:r w:rsidR="00203692">
              <w:t>a sa</w:t>
            </w:r>
            <w:r>
              <w:t xml:space="preserve"> de responsabil pentru piața energiei </w:t>
            </w:r>
            <w:r w:rsidR="00A13B75">
              <w:t xml:space="preserve">electrice </w:t>
            </w:r>
            <w:r>
              <w:t>de echilibrare nu trebuie să obțină profit din a</w:t>
            </w:r>
            <w:r w:rsidR="00287193">
              <w:t>ceastă activitate (art. 84 aline</w:t>
            </w:r>
            <w:r>
              <w:t>at 7 din Legea nr. 107/2016)</w:t>
            </w:r>
            <w:r w:rsidR="005B07D6">
              <w:t>;</w:t>
            </w:r>
          </w:p>
          <w:p w14:paraId="752F0D9E" w14:textId="787351E7" w:rsidR="005B07D6" w:rsidRDefault="00203692" w:rsidP="005B07D6">
            <w:pPr>
              <w:numPr>
                <w:ilvl w:val="0"/>
                <w:numId w:val="7"/>
              </w:numPr>
              <w:jc w:val="both"/>
            </w:pPr>
            <w:r>
              <w:t>Implementarea unui mecanism de repartizare</w:t>
            </w:r>
            <w:r w:rsidR="005B07D6">
              <w:t xml:space="preserve"> echitabilă</w:t>
            </w:r>
            <w:r>
              <w:t xml:space="preserve"> către toate PRE-urile care participă la piața energie</w:t>
            </w:r>
            <w:r w:rsidR="0002753D">
              <w:t>i</w:t>
            </w:r>
            <w:r>
              <w:t xml:space="preserve"> electric</w:t>
            </w:r>
            <w:r w:rsidR="0002753D">
              <w:t>e</w:t>
            </w:r>
            <w:r w:rsidR="005B07D6">
              <w:t xml:space="preserve"> a costurilor/veniturilor </w:t>
            </w:r>
            <w:r>
              <w:t xml:space="preserve">suplimentare </w:t>
            </w:r>
            <w:r w:rsidR="005B07D6">
              <w:t xml:space="preserve">înregistrate de </w:t>
            </w:r>
            <w:r w:rsidR="00287193">
              <w:t>OST</w:t>
            </w:r>
            <w:r>
              <w:t xml:space="preserve"> în legătură cu activitatea de echilibrare a sistemului</w:t>
            </w:r>
            <w:r w:rsidR="0002753D">
              <w:t xml:space="preserve"> electroenergetic</w:t>
            </w:r>
            <w:r w:rsidR="005B07D6">
              <w:t>;</w:t>
            </w:r>
          </w:p>
          <w:p w14:paraId="6DBBAA37" w14:textId="1552EE27" w:rsidR="005B07D6" w:rsidRPr="009D4714" w:rsidRDefault="00D93783" w:rsidP="005B07D6">
            <w:pPr>
              <w:numPr>
                <w:ilvl w:val="0"/>
                <w:numId w:val="7"/>
              </w:numPr>
              <w:jc w:val="both"/>
            </w:pPr>
            <w:r>
              <w:t xml:space="preserve">Stabilirea </w:t>
            </w:r>
            <w:r w:rsidR="00203692">
              <w:t xml:space="preserve">unui algoritm </w:t>
            </w:r>
            <w:r w:rsidR="00203692" w:rsidRPr="009D4714">
              <w:t>de alocare a costurilor și veniturilor între membrii grupurilor de echilibrare</w:t>
            </w:r>
            <w:r>
              <w:t>, care poate fi utilizat de participanții grupurilor de echilibrare.</w:t>
            </w:r>
          </w:p>
        </w:tc>
      </w:tr>
      <w:tr w:rsidR="00FB609F" w:rsidRPr="009D4714" w14:paraId="021A2A60"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2390FA6" w14:textId="77777777" w:rsidR="00FB609F" w:rsidRPr="009D4714" w:rsidRDefault="00F62480" w:rsidP="00176397">
            <w:r w:rsidRPr="009D4714">
              <w:rPr>
                <w:b/>
              </w:rPr>
              <w:t xml:space="preserve">3. Identificarea </w:t>
            </w:r>
            <w:r w:rsidR="00675F58" w:rsidRPr="009D4714">
              <w:rPr>
                <w:b/>
              </w:rPr>
              <w:t>op</w:t>
            </w:r>
            <w:r w:rsidR="00176397" w:rsidRPr="009D4714">
              <w:rPr>
                <w:b/>
              </w:rPr>
              <w:t>ț</w:t>
            </w:r>
            <w:r w:rsidR="00675F58" w:rsidRPr="009D4714">
              <w:rPr>
                <w:b/>
              </w:rPr>
              <w:t>iunilor</w:t>
            </w:r>
          </w:p>
        </w:tc>
      </w:tr>
      <w:tr w:rsidR="00FB609F" w:rsidRPr="009D4714" w14:paraId="472401F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0D85AE6" w14:textId="77777777" w:rsidR="00FB609F" w:rsidRPr="009D4714" w:rsidRDefault="00F62480" w:rsidP="00176397">
            <w:r w:rsidRPr="009D4714">
              <w:rPr>
                <w:b/>
                <w:i/>
              </w:rPr>
              <w:t>a) Expune</w:t>
            </w:r>
            <w:r w:rsidR="00176397" w:rsidRPr="009D4714">
              <w:rPr>
                <w:b/>
                <w:i/>
              </w:rPr>
              <w:t>ț</w:t>
            </w:r>
            <w:r w:rsidRPr="009D4714">
              <w:rPr>
                <w:b/>
                <w:i/>
              </w:rPr>
              <w:t>i succint op</w:t>
            </w:r>
            <w:r w:rsidR="00176397" w:rsidRPr="009D4714">
              <w:rPr>
                <w:b/>
                <w:i/>
              </w:rPr>
              <w:t>ț</w:t>
            </w:r>
            <w:r w:rsidRPr="009D4714">
              <w:rPr>
                <w:b/>
                <w:i/>
              </w:rPr>
              <w:t>iunea „a nu face nimic”, care presupune lipsa de interven</w:t>
            </w:r>
            <w:r w:rsidR="00176397" w:rsidRPr="009D4714">
              <w:rPr>
                <w:b/>
                <w:i/>
              </w:rPr>
              <w:t>ț</w:t>
            </w:r>
            <w:r w:rsidRPr="009D4714">
              <w:rPr>
                <w:b/>
                <w:i/>
              </w:rPr>
              <w:t>ie</w:t>
            </w:r>
          </w:p>
        </w:tc>
      </w:tr>
      <w:tr w:rsidR="00FB609F" w:rsidRPr="009D4714" w14:paraId="3FCCE965"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B6C84D3" w14:textId="77777777" w:rsidR="00143E7A" w:rsidRPr="009D4714" w:rsidRDefault="00143E7A" w:rsidP="00176397">
            <w:pPr>
              <w:ind w:left="885"/>
              <w:jc w:val="both"/>
              <w:rPr>
                <w:b/>
                <w:bCs/>
                <w:lang w:eastAsia="ja-JP"/>
              </w:rPr>
            </w:pPr>
            <w:r w:rsidRPr="009D4714">
              <w:rPr>
                <w:b/>
                <w:bCs/>
                <w:lang w:eastAsia="ja-JP"/>
              </w:rPr>
              <w:t>A nu face nimic</w:t>
            </w:r>
          </w:p>
          <w:p w14:paraId="1D30648D" w14:textId="5728628E" w:rsidR="00143E7A" w:rsidRDefault="00675F58" w:rsidP="00176397">
            <w:pPr>
              <w:ind w:firstLine="460"/>
              <w:jc w:val="both"/>
              <w:rPr>
                <w:lang w:eastAsia="ro-RO"/>
              </w:rPr>
            </w:pPr>
            <w:r w:rsidRPr="009D4714">
              <w:rPr>
                <w:bCs/>
                <w:lang w:eastAsia="ja-JP"/>
              </w:rPr>
              <w:t>Op</w:t>
            </w:r>
            <w:r w:rsidR="00176397" w:rsidRPr="009D4714">
              <w:rPr>
                <w:bCs/>
                <w:lang w:eastAsia="ja-JP"/>
              </w:rPr>
              <w:t>ț</w:t>
            </w:r>
            <w:r w:rsidRPr="009D4714">
              <w:rPr>
                <w:bCs/>
                <w:lang w:eastAsia="ja-JP"/>
              </w:rPr>
              <w:t>iunea</w:t>
            </w:r>
            <w:r w:rsidR="00143E7A" w:rsidRPr="009D4714">
              <w:rPr>
                <w:bCs/>
                <w:lang w:eastAsia="ja-JP"/>
              </w:rPr>
              <w:t xml:space="preserve"> </w:t>
            </w:r>
            <w:r w:rsidR="00D32CAE" w:rsidRPr="009D4714">
              <w:rPr>
                <w:bCs/>
                <w:lang w:eastAsia="ja-JP"/>
              </w:rPr>
              <w:t>dată</w:t>
            </w:r>
            <w:r w:rsidR="00143E7A" w:rsidRPr="009D4714">
              <w:rPr>
                <w:bCs/>
                <w:lang w:eastAsia="ja-JP"/>
              </w:rPr>
              <w:t xml:space="preserve"> constă în a nu elabora </w:t>
            </w:r>
            <w:r w:rsidR="00B2102E" w:rsidRPr="009D4714">
              <w:rPr>
                <w:bCs/>
                <w:lang w:eastAsia="ja-JP"/>
              </w:rPr>
              <w:t>proiectul de modificare a</w:t>
            </w:r>
            <w:r w:rsidR="00143E7A" w:rsidRPr="009D4714">
              <w:rPr>
                <w:bCs/>
                <w:lang w:eastAsia="ja-JP"/>
              </w:rPr>
              <w:t xml:space="preserve"> </w:t>
            </w:r>
            <w:r w:rsidR="005958F9">
              <w:rPr>
                <w:i/>
                <w:lang w:eastAsia="ro-RO"/>
              </w:rPr>
              <w:t>Regulilor pieței energiei electrice.</w:t>
            </w:r>
          </w:p>
          <w:p w14:paraId="4359D3DA" w14:textId="07930388" w:rsidR="005958F9" w:rsidRDefault="005958F9" w:rsidP="00176397">
            <w:pPr>
              <w:ind w:firstLine="460"/>
              <w:jc w:val="both"/>
              <w:rPr>
                <w:lang w:eastAsia="ro-RO"/>
              </w:rPr>
            </w:pPr>
            <w:r>
              <w:rPr>
                <w:lang w:eastAsia="ro-RO"/>
              </w:rPr>
              <w:t xml:space="preserve">În acest caz, nu vor fi eliminate carențele prevederilor actuale </w:t>
            </w:r>
            <w:r w:rsidR="0002753D">
              <w:rPr>
                <w:lang w:eastAsia="ro-RO"/>
              </w:rPr>
              <w:t xml:space="preserve">ale </w:t>
            </w:r>
            <w:r>
              <w:rPr>
                <w:lang w:eastAsia="ro-RO"/>
              </w:rPr>
              <w:t>RPEE, și anume cele legate de decontarea dezechilibrelor create de participanții pi</w:t>
            </w:r>
            <w:r w:rsidR="0002753D">
              <w:rPr>
                <w:lang w:eastAsia="ro-RO"/>
              </w:rPr>
              <w:t>e</w:t>
            </w:r>
            <w:r>
              <w:rPr>
                <w:lang w:eastAsia="ro-RO"/>
              </w:rPr>
              <w:t>ț</w:t>
            </w:r>
            <w:r w:rsidR="0002753D">
              <w:rPr>
                <w:lang w:eastAsia="ro-RO"/>
              </w:rPr>
              <w:t>ei</w:t>
            </w:r>
            <w:r>
              <w:rPr>
                <w:lang w:eastAsia="ro-RO"/>
              </w:rPr>
              <w:t xml:space="preserve"> energiei electrice ceea ce va duce la perpetuarea situației existente la moment, și anume: </w:t>
            </w:r>
          </w:p>
          <w:p w14:paraId="7E95BF30" w14:textId="4C58A91A" w:rsidR="005958F9" w:rsidRDefault="005958F9" w:rsidP="005958F9">
            <w:pPr>
              <w:pStyle w:val="a7"/>
              <w:numPr>
                <w:ilvl w:val="0"/>
                <w:numId w:val="32"/>
              </w:numPr>
              <w:jc w:val="both"/>
              <w:rPr>
                <w:bCs/>
                <w:lang w:eastAsia="ja-JP"/>
              </w:rPr>
            </w:pPr>
            <w:r>
              <w:rPr>
                <w:bCs/>
                <w:lang w:eastAsia="ja-JP"/>
              </w:rPr>
              <w:t>Aplicarea unui preț mare pentru dezechilibrele în deficit;</w:t>
            </w:r>
          </w:p>
          <w:p w14:paraId="005C3167" w14:textId="1FB6B9B3" w:rsidR="005958F9" w:rsidRDefault="005958F9" w:rsidP="005958F9">
            <w:pPr>
              <w:pStyle w:val="a7"/>
              <w:numPr>
                <w:ilvl w:val="0"/>
                <w:numId w:val="32"/>
              </w:numPr>
              <w:jc w:val="both"/>
              <w:rPr>
                <w:bCs/>
                <w:lang w:eastAsia="ja-JP"/>
              </w:rPr>
            </w:pPr>
            <w:r>
              <w:rPr>
                <w:bCs/>
                <w:lang w:eastAsia="ja-JP"/>
              </w:rPr>
              <w:t>Aplicarea unui preț mic pentru dezechilibrele în excedent;</w:t>
            </w:r>
          </w:p>
          <w:p w14:paraId="3FFEC625" w14:textId="2DFB3C5E" w:rsidR="005958F9" w:rsidRDefault="005958F9" w:rsidP="005958F9">
            <w:pPr>
              <w:pStyle w:val="a7"/>
              <w:numPr>
                <w:ilvl w:val="0"/>
                <w:numId w:val="32"/>
              </w:numPr>
              <w:jc w:val="both"/>
              <w:rPr>
                <w:bCs/>
                <w:lang w:eastAsia="ja-JP"/>
              </w:rPr>
            </w:pPr>
            <w:r>
              <w:rPr>
                <w:bCs/>
                <w:lang w:eastAsia="ja-JP"/>
              </w:rPr>
              <w:t>Formarea unui excedent de surse financiare la OST, legat de echilibrare</w:t>
            </w:r>
            <w:r w:rsidR="00E53FAA">
              <w:rPr>
                <w:bCs/>
                <w:lang w:eastAsia="ja-JP"/>
              </w:rPr>
              <w:t>a</w:t>
            </w:r>
            <w:r>
              <w:rPr>
                <w:bCs/>
                <w:lang w:eastAsia="ja-JP"/>
              </w:rPr>
              <w:t xml:space="preserve"> sistemului;</w:t>
            </w:r>
          </w:p>
          <w:p w14:paraId="761C844B" w14:textId="50D18DB4" w:rsidR="005958F9" w:rsidRDefault="005958F9" w:rsidP="005958F9">
            <w:pPr>
              <w:pStyle w:val="a7"/>
              <w:numPr>
                <w:ilvl w:val="0"/>
                <w:numId w:val="32"/>
              </w:numPr>
              <w:jc w:val="both"/>
              <w:rPr>
                <w:bCs/>
                <w:lang w:eastAsia="ja-JP"/>
              </w:rPr>
            </w:pPr>
            <w:r>
              <w:rPr>
                <w:bCs/>
                <w:lang w:eastAsia="ja-JP"/>
              </w:rPr>
              <w:lastRenderedPageBreak/>
              <w:t>Repartizarea excedentului format către PRE-urile care și-au asumat echilibrare</w:t>
            </w:r>
            <w:r w:rsidR="00E53FAA">
              <w:rPr>
                <w:bCs/>
                <w:lang w:eastAsia="ja-JP"/>
              </w:rPr>
              <w:t>a</w:t>
            </w:r>
            <w:r>
              <w:rPr>
                <w:bCs/>
                <w:lang w:eastAsia="ja-JP"/>
              </w:rPr>
              <w:t xml:space="preserve"> pentru consumatorii finali de energie electrică;</w:t>
            </w:r>
          </w:p>
          <w:p w14:paraId="216388E2" w14:textId="3B8E5940" w:rsidR="005958F9" w:rsidRDefault="009C5BAC" w:rsidP="005958F9">
            <w:pPr>
              <w:pStyle w:val="a7"/>
              <w:numPr>
                <w:ilvl w:val="0"/>
                <w:numId w:val="32"/>
              </w:numPr>
              <w:jc w:val="both"/>
              <w:rPr>
                <w:bCs/>
                <w:lang w:eastAsia="ja-JP"/>
              </w:rPr>
            </w:pPr>
            <w:r>
              <w:rPr>
                <w:bCs/>
                <w:lang w:eastAsia="ja-JP"/>
              </w:rPr>
              <w:t>Lipsa unei</w:t>
            </w:r>
            <w:r w:rsidR="005958F9">
              <w:rPr>
                <w:bCs/>
                <w:lang w:eastAsia="ja-JP"/>
              </w:rPr>
              <w:t xml:space="preserve"> metode de alocare a costurilor/veniturilor rezultate din activitatea grupurilor</w:t>
            </w:r>
            <w:r>
              <w:rPr>
                <w:bCs/>
                <w:lang w:eastAsia="ja-JP"/>
              </w:rPr>
              <w:t xml:space="preserve"> de echilibrare, care poate fi utilizată drept reper de participanții la piață.</w:t>
            </w:r>
          </w:p>
          <w:p w14:paraId="54094BC7" w14:textId="6F985AAB" w:rsidR="005958F9" w:rsidRPr="005958F9" w:rsidRDefault="005958F9" w:rsidP="005958F9">
            <w:pPr>
              <w:ind w:firstLine="450"/>
              <w:jc w:val="both"/>
              <w:rPr>
                <w:bCs/>
                <w:lang w:eastAsia="ja-JP"/>
              </w:rPr>
            </w:pPr>
            <w:r>
              <w:rPr>
                <w:bCs/>
                <w:lang w:eastAsia="ja-JP"/>
              </w:rPr>
              <w:t xml:space="preserve">Aspectele menționate vor duce la îngreunarea situației financiare a PRE-urilor, în particular a celor care nu furnizează energiei electrică consumatorilor finali, astfel că poate apărea </w:t>
            </w:r>
            <w:r w:rsidR="00D5658E">
              <w:rPr>
                <w:bCs/>
                <w:lang w:eastAsia="ja-JP"/>
              </w:rPr>
              <w:t>situația în care PRE-urile nu vor putea să își onoreze obligațiile contractuale față de OST, iar acesta din urmă ar putea să fie în situația în care nu va putea să achite partenerilor externi costurile pentru dezechilibrele siste</w:t>
            </w:r>
            <w:r w:rsidR="00287193">
              <w:rPr>
                <w:bCs/>
                <w:lang w:eastAsia="ja-JP"/>
              </w:rPr>
              <w:t>mului electroenergetic național, astfel fiind pusă în pericol asigurarea continuității alimentării cu energie electrică a consumatorilor finali la nivel național.</w:t>
            </w:r>
          </w:p>
          <w:p w14:paraId="648E3D27" w14:textId="13471047" w:rsidR="00FB609F" w:rsidRPr="009D4714" w:rsidRDefault="00A35E78" w:rsidP="00865E99">
            <w:pPr>
              <w:tabs>
                <w:tab w:val="left" w:pos="0"/>
                <w:tab w:val="left" w:pos="426"/>
                <w:tab w:val="left" w:pos="709"/>
                <w:tab w:val="left" w:pos="851"/>
              </w:tabs>
              <w:ind w:firstLine="587"/>
              <w:jc w:val="both"/>
            </w:pPr>
            <w:r w:rsidRPr="009D4714">
              <w:rPr>
                <w:bCs/>
                <w:lang w:eastAsia="ja-JP"/>
              </w:rPr>
              <w:t xml:space="preserve">  </w:t>
            </w:r>
            <w:r w:rsidR="00D85461" w:rsidRPr="009D4714">
              <w:rPr>
                <w:bCs/>
                <w:lang w:eastAsia="ja-JP"/>
              </w:rPr>
              <w:t xml:space="preserve">  </w:t>
            </w:r>
          </w:p>
        </w:tc>
      </w:tr>
      <w:tr w:rsidR="00FB609F" w:rsidRPr="009D4714" w14:paraId="50AA6673"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3229492" w14:textId="77777777" w:rsidR="00FB609F" w:rsidRPr="009D4714" w:rsidRDefault="00F62480" w:rsidP="00176397">
            <w:r w:rsidRPr="009D4714">
              <w:rPr>
                <w:b/>
                <w:i/>
              </w:rPr>
              <w:lastRenderedPageBreak/>
              <w:t>b) Expune</w:t>
            </w:r>
            <w:r w:rsidR="00176397" w:rsidRPr="009D4714">
              <w:rPr>
                <w:b/>
                <w:i/>
              </w:rPr>
              <w:t>ț</w:t>
            </w:r>
            <w:r w:rsidRPr="009D4714">
              <w:rPr>
                <w:b/>
                <w:i/>
              </w:rPr>
              <w:t xml:space="preserve">i principalele prevederi ale proiectului, cu impact, explicând cum acestea </w:t>
            </w:r>
            <w:r w:rsidR="00176397" w:rsidRPr="009D4714">
              <w:rPr>
                <w:b/>
                <w:i/>
              </w:rPr>
              <w:t>ț</w:t>
            </w:r>
            <w:r w:rsidRPr="009D4714">
              <w:rPr>
                <w:b/>
                <w:i/>
              </w:rPr>
              <w:t>intesc cauzele problemei, cu indicarea nova</w:t>
            </w:r>
            <w:r w:rsidR="00176397" w:rsidRPr="009D4714">
              <w:rPr>
                <w:b/>
                <w:i/>
              </w:rPr>
              <w:t>ț</w:t>
            </w:r>
            <w:r w:rsidRPr="009D4714">
              <w:rPr>
                <w:b/>
                <w:i/>
              </w:rPr>
              <w:t xml:space="preserve">iilor </w:t>
            </w:r>
            <w:r w:rsidR="00176397" w:rsidRPr="009D4714">
              <w:rPr>
                <w:b/>
                <w:i/>
              </w:rPr>
              <w:t>ș</w:t>
            </w:r>
            <w:r w:rsidRPr="009D4714">
              <w:rPr>
                <w:b/>
                <w:i/>
              </w:rPr>
              <w:t>i întregului spectru de solu</w:t>
            </w:r>
            <w:r w:rsidR="00176397" w:rsidRPr="009D4714">
              <w:rPr>
                <w:b/>
                <w:i/>
              </w:rPr>
              <w:t>ț</w:t>
            </w:r>
            <w:r w:rsidRPr="009D4714">
              <w:rPr>
                <w:b/>
                <w:i/>
              </w:rPr>
              <w:t>ii/drepturi/obliga</w:t>
            </w:r>
            <w:r w:rsidR="00176397" w:rsidRPr="009D4714">
              <w:rPr>
                <w:b/>
                <w:i/>
              </w:rPr>
              <w:t>ț</w:t>
            </w:r>
            <w:r w:rsidRPr="009D4714">
              <w:rPr>
                <w:b/>
                <w:i/>
              </w:rPr>
              <w:t>ii ce se doresc să fie aprobate</w:t>
            </w:r>
          </w:p>
        </w:tc>
      </w:tr>
      <w:tr w:rsidR="00FB609F" w:rsidRPr="009D4714" w14:paraId="364B4EF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7C28AF" w14:textId="77777777" w:rsidR="007C6C7A" w:rsidRDefault="00EF009C" w:rsidP="007C6C7A">
            <w:pPr>
              <w:tabs>
                <w:tab w:val="left" w:pos="0"/>
                <w:tab w:val="left" w:pos="426"/>
                <w:tab w:val="left" w:pos="709"/>
                <w:tab w:val="left" w:pos="851"/>
              </w:tabs>
              <w:ind w:firstLine="587"/>
              <w:jc w:val="both"/>
              <w:rPr>
                <w:bCs/>
                <w:lang w:eastAsia="ja-JP"/>
              </w:rPr>
            </w:pPr>
            <w:r w:rsidRPr="009D4714">
              <w:rPr>
                <w:bCs/>
                <w:lang w:eastAsia="ja-JP"/>
              </w:rPr>
              <w:t xml:space="preserve">Modificările </w:t>
            </w:r>
            <w:r w:rsidR="007C6C7A">
              <w:rPr>
                <w:bCs/>
                <w:lang w:eastAsia="ja-JP"/>
              </w:rPr>
              <w:t>propuse la RPEE prevăd următoarele:</w:t>
            </w:r>
          </w:p>
          <w:p w14:paraId="1E8246B6" w14:textId="2C696A04" w:rsidR="008C2007" w:rsidRDefault="007C6C7A" w:rsidP="007C6C7A">
            <w:pPr>
              <w:pStyle w:val="a7"/>
              <w:numPr>
                <w:ilvl w:val="0"/>
                <w:numId w:val="33"/>
              </w:numPr>
              <w:tabs>
                <w:tab w:val="left" w:pos="0"/>
                <w:tab w:val="left" w:pos="426"/>
                <w:tab w:val="left" w:pos="709"/>
                <w:tab w:val="left" w:pos="851"/>
              </w:tabs>
              <w:jc w:val="both"/>
            </w:pPr>
            <w:r>
              <w:t>Modificarea metodei de determinare a prețului energiei electrice de dezechilibru, atât pentru deficit, cât și pentru excedent, prin raportarea costului/venitului real suportat/obținut de OST în intervalul de dispecerizare</w:t>
            </w:r>
            <w:r w:rsidR="00E13F93">
              <w:t xml:space="preserve"> la energia electrică efectiv utilizată/activată de OST în intervalul de dispecerizare respectiv. Concomitent, metoda propusă prevede plafonarea prețului maxim al dezechilibr</w:t>
            </w:r>
            <w:r w:rsidR="00AE32B5">
              <w:t>ului</w:t>
            </w:r>
            <w:r w:rsidR="00E13F93">
              <w:t xml:space="preserve"> în deficit, precum și plafonarea prețului minim și maxim al dezechilibr</w:t>
            </w:r>
            <w:r w:rsidR="00AE32B5">
              <w:t>ului</w:t>
            </w:r>
            <w:r w:rsidR="00E13F93">
              <w:t xml:space="preserve"> în excedent. Suplimentar pentru intervalele de dispecerizare în care OST nu activează energie </w:t>
            </w:r>
            <w:r w:rsidR="00AE32B5">
              <w:t xml:space="preserve">electrică de </w:t>
            </w:r>
            <w:r w:rsidR="00E13F93">
              <w:t>echilibrare</w:t>
            </w:r>
            <w:r w:rsidR="00AE32B5">
              <w:t>,</w:t>
            </w:r>
            <w:r w:rsidR="00E13F93">
              <w:t xml:space="preserve"> este utilizat prețul mediu ponderat al energiei electrice achiziționate de furnizorii la prețuri reglementate în luna pentru care se decontează dezechilibrele (cu excepția energiei achiziționate de la producătorii care generează energie electrică din SER cu scheme de sprijin și de la centralele electrice cu termoficare urbane – CET-uri) cu aplicarea unor coeficienți de corecție. Finalmente pentru a exclude un comportament atipic prețul pentru excedent calculat este aplicat doar în condiția în care </w:t>
            </w:r>
            <w:r w:rsidR="00AE32B5">
              <w:t>dezechilibrul pozitiv al</w:t>
            </w:r>
            <w:r w:rsidR="00E13F93">
              <w:t xml:space="preserve"> PRE nu depășește 20%</w:t>
            </w:r>
            <w:r w:rsidR="00AE32B5">
              <w:t xml:space="preserve"> din</w:t>
            </w:r>
            <w:r w:rsidR="00E13F93">
              <w:t xml:space="preserve"> valoarea poziție nete contractate a participantului la piață, în caz contract prețul pentru excedent este corectat în sensul diminuării acestuia.</w:t>
            </w:r>
            <w:r w:rsidR="00287193">
              <w:t>;</w:t>
            </w:r>
          </w:p>
          <w:p w14:paraId="505A0A03" w14:textId="7663AF7C" w:rsidR="00EC4E15" w:rsidRDefault="00EC4E15" w:rsidP="007C6C7A">
            <w:pPr>
              <w:pStyle w:val="a7"/>
              <w:numPr>
                <w:ilvl w:val="0"/>
                <w:numId w:val="33"/>
              </w:numPr>
              <w:tabs>
                <w:tab w:val="left" w:pos="0"/>
                <w:tab w:val="left" w:pos="426"/>
                <w:tab w:val="left" w:pos="709"/>
                <w:tab w:val="left" w:pos="851"/>
              </w:tabs>
              <w:jc w:val="both"/>
            </w:pPr>
            <w:r>
              <w:t xml:space="preserve">Modificarea prețului de referință ce urmează a fi utilizat de OST până la crearea PZU și respectiv până la apariția unui PIP național, de la PZU din Ucraina la prețul mediu ponderat al energiei electrice achiziționate de furnizorii la prețuri reglementate în luna pentru care se decontează dezechilibrele (cu excepția energiei achiziționate de la </w:t>
            </w:r>
            <w:r w:rsidR="0002753D">
              <w:t xml:space="preserve">producătorii care generează energie electrică din </w:t>
            </w:r>
            <w:r>
              <w:t>SER cu scheme de sprijin și de la centralele</w:t>
            </w:r>
            <w:r w:rsidR="00287193">
              <w:t xml:space="preserve"> electrice</w:t>
            </w:r>
            <w:r>
              <w:t xml:space="preserve"> </w:t>
            </w:r>
            <w:r w:rsidR="00287193">
              <w:t>cu termoficare urbane – CET-uri);</w:t>
            </w:r>
          </w:p>
          <w:p w14:paraId="1C44D3A5" w14:textId="77777777" w:rsidR="00EC4E15" w:rsidRDefault="00EC4E15" w:rsidP="007C6C7A">
            <w:pPr>
              <w:pStyle w:val="a7"/>
              <w:numPr>
                <w:ilvl w:val="0"/>
                <w:numId w:val="33"/>
              </w:numPr>
              <w:tabs>
                <w:tab w:val="left" w:pos="0"/>
                <w:tab w:val="left" w:pos="426"/>
                <w:tab w:val="left" w:pos="709"/>
                <w:tab w:val="left" w:pos="851"/>
              </w:tabs>
              <w:jc w:val="both"/>
            </w:pPr>
            <w:r>
              <w:t>Modificarea metodei de alocare a costurilor/veniturilor suplimentare înregistrate de OST, cu trecerea de la alocarea acestora doar către PRE-urile care au consumatori finali, către alocarea acestora tuturor PRE-urilor (inclusiv producători, operatori de sistem)</w:t>
            </w:r>
            <w:r w:rsidR="00C41B82">
              <w:t>;</w:t>
            </w:r>
          </w:p>
          <w:p w14:paraId="307E2C3D" w14:textId="13E94915" w:rsidR="00C41B82" w:rsidRDefault="00E13F93" w:rsidP="007C6C7A">
            <w:pPr>
              <w:pStyle w:val="a7"/>
              <w:numPr>
                <w:ilvl w:val="0"/>
                <w:numId w:val="33"/>
              </w:numPr>
              <w:tabs>
                <w:tab w:val="left" w:pos="0"/>
                <w:tab w:val="left" w:pos="426"/>
                <w:tab w:val="left" w:pos="709"/>
                <w:tab w:val="left" w:pos="851"/>
              </w:tabs>
              <w:jc w:val="both"/>
            </w:pPr>
            <w:r>
              <w:t xml:space="preserve">Stabilirea unui </w:t>
            </w:r>
            <w:r w:rsidR="00C41B82">
              <w:t xml:space="preserve">algoritm unic </w:t>
            </w:r>
            <w:r>
              <w:t xml:space="preserve">de </w:t>
            </w:r>
            <w:r w:rsidR="00C41B82">
              <w:t>repartizare</w:t>
            </w:r>
            <w:r w:rsidR="0002753D">
              <w:t xml:space="preserve"> </w:t>
            </w:r>
            <w:r w:rsidR="00C41B82">
              <w:t>a costurilor/veniturilor provenite din activitatea grupurilor de echilibrare</w:t>
            </w:r>
            <w:r w:rsidR="0002753D">
              <w:t xml:space="preserve"> între membrii grupului de echilibrare</w:t>
            </w:r>
            <w:r>
              <w:t>, care poate fi aplicat de participanții la piața de energie electrică.</w:t>
            </w:r>
          </w:p>
          <w:p w14:paraId="29E2D6D9" w14:textId="32EAAA9E" w:rsidR="005554CA" w:rsidRDefault="005554CA" w:rsidP="005554CA">
            <w:pPr>
              <w:tabs>
                <w:tab w:val="left" w:pos="0"/>
                <w:tab w:val="left" w:pos="426"/>
                <w:tab w:val="left" w:pos="709"/>
                <w:tab w:val="left" w:pos="851"/>
              </w:tabs>
              <w:ind w:firstLine="586"/>
              <w:jc w:val="both"/>
            </w:pPr>
            <w:r>
              <w:t xml:space="preserve">Modificările propuse </w:t>
            </w:r>
            <w:r w:rsidR="0002753D">
              <w:t xml:space="preserve">la </w:t>
            </w:r>
            <w:r>
              <w:t>RPEE în principiu nu reprezintă novații propriu-zise ci vin să ajusteze cadrul normativ aplicat la realitățile locale ale pieței energie</w:t>
            </w:r>
            <w:r w:rsidR="0002753D">
              <w:t>i</w:t>
            </w:r>
            <w:r>
              <w:t xml:space="preserve"> electric</w:t>
            </w:r>
            <w:r w:rsidR="0002753D">
              <w:t>e</w:t>
            </w:r>
            <w:r>
              <w:t xml:space="preserve">, să asigure că OST va acumula fondurile necesare pentru energia </w:t>
            </w:r>
            <w:r w:rsidR="0002753D">
              <w:t xml:space="preserve">electrică </w:t>
            </w:r>
            <w:r>
              <w:t>de echilibrare utilizată în procesul tehnologic, iar surplusul de costuri sau venituri înregistrat de OST</w:t>
            </w:r>
            <w:r w:rsidR="001226F7">
              <w:t xml:space="preserve"> (care urmează să se reducă considerabil)</w:t>
            </w:r>
            <w:r>
              <w:t xml:space="preserve"> va fi repartizat către toți participanții pi</w:t>
            </w:r>
            <w:r w:rsidR="0002753D">
              <w:t>e</w:t>
            </w:r>
            <w:r>
              <w:t>ț</w:t>
            </w:r>
            <w:r w:rsidR="0002753D">
              <w:t>ei</w:t>
            </w:r>
            <w:r>
              <w:t xml:space="preserve"> energie</w:t>
            </w:r>
            <w:r w:rsidR="0002753D">
              <w:t>i</w:t>
            </w:r>
            <w:r>
              <w:t xml:space="preserve"> electric</w:t>
            </w:r>
            <w:r w:rsidR="0002753D">
              <w:t>e</w:t>
            </w:r>
            <w:r>
              <w:t xml:space="preserve"> care au creat </w:t>
            </w:r>
            <w:r w:rsidR="001226F7">
              <w:t xml:space="preserve">aceste </w:t>
            </w:r>
            <w:r>
              <w:t xml:space="preserve">dezechilibre. </w:t>
            </w:r>
          </w:p>
          <w:p w14:paraId="728D6AE9" w14:textId="5681CE2C" w:rsidR="005554CA" w:rsidRPr="009D4714" w:rsidRDefault="005554CA" w:rsidP="00180F5F">
            <w:pPr>
              <w:tabs>
                <w:tab w:val="left" w:pos="0"/>
                <w:tab w:val="left" w:pos="426"/>
                <w:tab w:val="left" w:pos="709"/>
                <w:tab w:val="left" w:pos="851"/>
              </w:tabs>
              <w:ind w:firstLine="586"/>
              <w:jc w:val="both"/>
            </w:pPr>
            <w:r>
              <w:lastRenderedPageBreak/>
              <w:t>Concomitent</w:t>
            </w:r>
            <w:r w:rsidR="001226F7">
              <w:t>,</w:t>
            </w:r>
            <w:r>
              <w:t xml:space="preserve"> se propune de a introduce </w:t>
            </w:r>
            <w:r w:rsidR="006A1236">
              <w:t>un algoritm unic de repartizare</w:t>
            </w:r>
            <w:r>
              <w:t xml:space="preserve"> a costurilor/veniturilor provenite de la activitatea grupurilor de echilibrare către membrii </w:t>
            </w:r>
            <w:r w:rsidR="0002753D">
              <w:t>grupului de echilibrare</w:t>
            </w:r>
            <w:r>
              <w:t>,</w:t>
            </w:r>
            <w:r w:rsidR="00180F5F">
              <w:t xml:space="preserve"> care poate fi aplicat de participanții la piața de energie electrică</w:t>
            </w:r>
            <w:r w:rsidR="00F5177D">
              <w:t xml:space="preserve">, în cazul în care se agreează acest fapt de către participanții din cadrul unui grup de echilibrare. </w:t>
            </w:r>
          </w:p>
        </w:tc>
      </w:tr>
      <w:tr w:rsidR="00FB609F" w:rsidRPr="009D4714" w14:paraId="39912DE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220A61C" w14:textId="77777777" w:rsidR="00FB609F" w:rsidRPr="009D4714" w:rsidRDefault="00F62480" w:rsidP="00176397">
            <w:r w:rsidRPr="009D4714">
              <w:rPr>
                <w:b/>
                <w:i/>
              </w:rPr>
              <w:lastRenderedPageBreak/>
              <w:t>c) Expune</w:t>
            </w:r>
            <w:r w:rsidR="00176397" w:rsidRPr="009D4714">
              <w:rPr>
                <w:b/>
                <w:i/>
              </w:rPr>
              <w:t>ț</w:t>
            </w:r>
            <w:r w:rsidRPr="009D4714">
              <w:rPr>
                <w:b/>
                <w:i/>
              </w:rPr>
              <w:t>i op</w:t>
            </w:r>
            <w:r w:rsidR="00176397" w:rsidRPr="009D4714">
              <w:rPr>
                <w:b/>
                <w:i/>
              </w:rPr>
              <w:t>ț</w:t>
            </w:r>
            <w:r w:rsidRPr="009D4714">
              <w:rPr>
                <w:b/>
                <w:i/>
              </w:rPr>
              <w:t>iunile alternative analizate sau explica</w:t>
            </w:r>
            <w:r w:rsidR="00176397" w:rsidRPr="009D4714">
              <w:rPr>
                <w:b/>
                <w:i/>
              </w:rPr>
              <w:t>ț</w:t>
            </w:r>
            <w:r w:rsidRPr="009D4714">
              <w:rPr>
                <w:b/>
                <w:i/>
              </w:rPr>
              <w:t>i motivul de ce acestea nu au fost luate în considerare</w:t>
            </w:r>
          </w:p>
        </w:tc>
      </w:tr>
      <w:tr w:rsidR="00FB609F" w:rsidRPr="009D4714" w14:paraId="57A3E5A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99E2F1" w14:textId="73D8B2D0" w:rsidR="00B77666" w:rsidRPr="009D4714" w:rsidRDefault="00F62480" w:rsidP="0002753D">
            <w:pPr>
              <w:ind w:firstLine="460"/>
              <w:jc w:val="both"/>
            </w:pPr>
            <w:r w:rsidRPr="009D4714">
              <w:t>În urma examinării op</w:t>
            </w:r>
            <w:r w:rsidR="00176397" w:rsidRPr="009D4714">
              <w:t>ț</w:t>
            </w:r>
            <w:r w:rsidRPr="009D4714">
              <w:t xml:space="preserve">iunilor </w:t>
            </w:r>
            <w:r w:rsidR="00431437" w:rsidRPr="009D4714">
              <w:t>propuse în scopul</w:t>
            </w:r>
            <w:r w:rsidRPr="009D4714">
              <w:t xml:space="preserve"> </w:t>
            </w:r>
            <w:r w:rsidR="00431437" w:rsidRPr="009D4714">
              <w:t xml:space="preserve">asigurării respectării </w:t>
            </w:r>
            <w:r w:rsidRPr="009D4714">
              <w:t>prevederilor legii</w:t>
            </w:r>
            <w:r w:rsidR="00431437" w:rsidRPr="009D4714">
              <w:t>,</w:t>
            </w:r>
            <w:r w:rsidRPr="009D4714">
              <w:t xml:space="preserve"> s-a constatat că </w:t>
            </w:r>
            <w:r w:rsidR="00431437" w:rsidRPr="009D4714">
              <w:t>reie</w:t>
            </w:r>
            <w:r w:rsidR="00176397" w:rsidRPr="009D4714">
              <w:t>ș</w:t>
            </w:r>
            <w:r w:rsidR="00431437" w:rsidRPr="009D4714">
              <w:t>ind din prevederile Legii nr. 107/2016 cu privire la energia electrică</w:t>
            </w:r>
            <w:r w:rsidR="007C7127" w:rsidRPr="009D4714">
              <w:t>,</w:t>
            </w:r>
            <w:r w:rsidR="003D6929" w:rsidRPr="009D4714">
              <w:t xml:space="preserve"> reglementarea </w:t>
            </w:r>
            <w:r w:rsidR="006A1236">
              <w:t>procesului de decontare al dezechilibrelor create de participanții la piața de energie electrică</w:t>
            </w:r>
            <w:r w:rsidR="003D6929" w:rsidRPr="009D4714">
              <w:t xml:space="preserve"> este realizată prin</w:t>
            </w:r>
            <w:r w:rsidR="006A1236">
              <w:t xml:space="preserve"> prisma prevederilor</w:t>
            </w:r>
            <w:r w:rsidR="003D6929" w:rsidRPr="009D4714">
              <w:t xml:space="preserve"> </w:t>
            </w:r>
            <w:r w:rsidR="006A1236">
              <w:t>Regulilor pieței energiei electrice</w:t>
            </w:r>
            <w:r w:rsidR="003D6929" w:rsidRPr="009D4714">
              <w:t>. Prin urmare</w:t>
            </w:r>
            <w:r w:rsidR="007C7127" w:rsidRPr="009D4714">
              <w:t>,</w:t>
            </w:r>
            <w:r w:rsidR="00431437" w:rsidRPr="009D4714">
              <w:t xml:space="preserve"> </w:t>
            </w:r>
            <w:r w:rsidRPr="009D4714">
              <w:t xml:space="preserve">elaborarea </w:t>
            </w:r>
            <w:r w:rsidR="00176397" w:rsidRPr="009D4714">
              <w:t>ș</w:t>
            </w:r>
            <w:r w:rsidRPr="009D4714">
              <w:t xml:space="preserve">i implementarea </w:t>
            </w:r>
            <w:r w:rsidR="00431437" w:rsidRPr="009D4714">
              <w:t>unei op</w:t>
            </w:r>
            <w:r w:rsidR="00176397" w:rsidRPr="009D4714">
              <w:t>ț</w:t>
            </w:r>
            <w:r w:rsidR="00431437" w:rsidRPr="009D4714">
              <w:t>iuni</w:t>
            </w:r>
            <w:r w:rsidRPr="009D4714">
              <w:t xml:space="preserve"> alternative, nu ar solu</w:t>
            </w:r>
            <w:r w:rsidR="00176397" w:rsidRPr="009D4714">
              <w:t>ț</w:t>
            </w:r>
            <w:r w:rsidRPr="009D4714">
              <w:t xml:space="preserve">iona </w:t>
            </w:r>
            <w:r w:rsidR="00143E7A" w:rsidRPr="009D4714">
              <w:t xml:space="preserve">problemele </w:t>
            </w:r>
            <w:r w:rsidR="003D6929" w:rsidRPr="009D4714">
              <w:t xml:space="preserve">descrise </w:t>
            </w:r>
            <w:r w:rsidR="0002753D">
              <w:t>mai sus</w:t>
            </w:r>
            <w:r w:rsidR="00143E7A" w:rsidRPr="009D4714">
              <w:t>.</w:t>
            </w:r>
          </w:p>
        </w:tc>
      </w:tr>
      <w:tr w:rsidR="00FB609F" w:rsidRPr="009D4714" w14:paraId="2377783F"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5AD4687" w14:textId="77777777" w:rsidR="00FB609F" w:rsidRPr="009D4714" w:rsidRDefault="00F62480" w:rsidP="00176397">
            <w:r w:rsidRPr="009D4714">
              <w:rPr>
                <w:b/>
              </w:rPr>
              <w:t xml:space="preserve">4. Analiza impacturilor </w:t>
            </w:r>
            <w:r w:rsidR="005A68DE" w:rsidRPr="009D4714">
              <w:rPr>
                <w:b/>
              </w:rPr>
              <w:t>op</w:t>
            </w:r>
            <w:r w:rsidR="00176397" w:rsidRPr="009D4714">
              <w:rPr>
                <w:b/>
              </w:rPr>
              <w:t>ț</w:t>
            </w:r>
            <w:r w:rsidR="005A68DE" w:rsidRPr="009D4714">
              <w:rPr>
                <w:b/>
              </w:rPr>
              <w:t>iunilor</w:t>
            </w:r>
          </w:p>
        </w:tc>
      </w:tr>
      <w:tr w:rsidR="00FB609F" w:rsidRPr="009D4714" w14:paraId="4FDA6DD8"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94CBC23" w14:textId="77777777" w:rsidR="00FB609F" w:rsidRPr="009D4714" w:rsidRDefault="00F62480" w:rsidP="00176397">
            <w:r w:rsidRPr="009D4714">
              <w:rPr>
                <w:b/>
                <w:i/>
              </w:rPr>
              <w:t>a) Expune</w:t>
            </w:r>
            <w:r w:rsidR="00176397" w:rsidRPr="009D4714">
              <w:rPr>
                <w:b/>
                <w:i/>
              </w:rPr>
              <w:t>ț</w:t>
            </w:r>
            <w:r w:rsidRPr="009D4714">
              <w:rPr>
                <w:b/>
                <w:i/>
              </w:rPr>
              <w:t xml:space="preserve">i efectele negative </w:t>
            </w:r>
            <w:r w:rsidR="00176397" w:rsidRPr="009D4714">
              <w:rPr>
                <w:b/>
                <w:i/>
              </w:rPr>
              <w:t>ș</w:t>
            </w:r>
            <w:r w:rsidR="00675F58" w:rsidRPr="009D4714">
              <w:rPr>
                <w:b/>
                <w:i/>
              </w:rPr>
              <w:t>i</w:t>
            </w:r>
            <w:r w:rsidRPr="009D4714">
              <w:rPr>
                <w:b/>
                <w:i/>
              </w:rPr>
              <w:t xml:space="preserve"> pozitive ale stării actuale </w:t>
            </w:r>
            <w:r w:rsidR="00176397" w:rsidRPr="009D4714">
              <w:rPr>
                <w:b/>
                <w:i/>
              </w:rPr>
              <w:t>ș</w:t>
            </w:r>
            <w:r w:rsidRPr="009D4714">
              <w:rPr>
                <w:b/>
                <w:i/>
              </w:rPr>
              <w:t>i evolu</w:t>
            </w:r>
            <w:r w:rsidR="00176397" w:rsidRPr="009D4714">
              <w:rPr>
                <w:b/>
                <w:i/>
              </w:rPr>
              <w:t>ț</w:t>
            </w:r>
            <w:r w:rsidRPr="009D4714">
              <w:rPr>
                <w:b/>
                <w:i/>
              </w:rPr>
              <w:t>ia acestora în viitor, care vor sta la baza calculării impacturilor op</w:t>
            </w:r>
            <w:r w:rsidR="00176397" w:rsidRPr="009D4714">
              <w:rPr>
                <w:b/>
                <w:i/>
              </w:rPr>
              <w:t>ț</w:t>
            </w:r>
            <w:r w:rsidRPr="009D4714">
              <w:rPr>
                <w:b/>
                <w:i/>
              </w:rPr>
              <w:t>iunii recomandate</w:t>
            </w:r>
          </w:p>
        </w:tc>
      </w:tr>
      <w:tr w:rsidR="00741206" w:rsidRPr="009D4714" w14:paraId="1086C8F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1D39FDF" w14:textId="77777777" w:rsidR="0057797B" w:rsidRDefault="00143E7A" w:rsidP="0057797B">
            <w:pPr>
              <w:ind w:firstLine="602"/>
              <w:rPr>
                <w:bCs/>
                <w:lang w:eastAsia="ja-JP"/>
              </w:rPr>
            </w:pPr>
            <w:r w:rsidRPr="009D4714">
              <w:rPr>
                <w:bCs/>
                <w:lang w:eastAsia="ja-JP"/>
              </w:rPr>
              <w:t>În c</w:t>
            </w:r>
            <w:r w:rsidR="00DE396F" w:rsidRPr="009D4714">
              <w:rPr>
                <w:bCs/>
                <w:lang w:eastAsia="ja-JP"/>
              </w:rPr>
              <w:t xml:space="preserve">azul în care, nu va fi elaborat și </w:t>
            </w:r>
            <w:r w:rsidRPr="009D4714">
              <w:rPr>
                <w:bCs/>
                <w:lang w:eastAsia="ja-JP"/>
              </w:rPr>
              <w:t xml:space="preserve"> </w:t>
            </w:r>
            <w:r w:rsidR="00DE396F" w:rsidRPr="009D4714">
              <w:rPr>
                <w:bCs/>
                <w:lang w:eastAsia="ja-JP"/>
              </w:rPr>
              <w:t>aprobat proiectul de modificare</w:t>
            </w:r>
            <w:r w:rsidRPr="009D4714">
              <w:rPr>
                <w:bCs/>
                <w:lang w:eastAsia="ja-JP"/>
              </w:rPr>
              <w:t xml:space="preserve"> </w:t>
            </w:r>
            <w:r w:rsidR="007C7127" w:rsidRPr="009D4714">
              <w:rPr>
                <w:bCs/>
                <w:lang w:eastAsia="ja-JP"/>
              </w:rPr>
              <w:t xml:space="preserve">a </w:t>
            </w:r>
            <w:r w:rsidR="0057797B">
              <w:rPr>
                <w:bCs/>
                <w:lang w:eastAsia="ja-JP"/>
              </w:rPr>
              <w:t xml:space="preserve">Regulilor pieței energiei electrice vor perpetua următoarele efecte negative: </w:t>
            </w:r>
          </w:p>
          <w:p w14:paraId="49F8AF66" w14:textId="53885E07" w:rsidR="00005CA1" w:rsidRDefault="00005CA1" w:rsidP="0057797B">
            <w:pPr>
              <w:pStyle w:val="a7"/>
              <w:numPr>
                <w:ilvl w:val="0"/>
                <w:numId w:val="34"/>
              </w:numPr>
              <w:ind w:left="1011" w:hanging="284"/>
            </w:pPr>
            <w:r>
              <w:t>Aplicarea unui preț pentru dezechilibru în deficit mare, care duce la acumularea fondurilor suplimentare de către OST</w:t>
            </w:r>
            <w:r w:rsidR="00BE0421">
              <w:t xml:space="preserve">, și la creșterea costurilor pentru aceste dezechilibre din partea participanților la piață care au înregistrat dezechilibre negative; </w:t>
            </w:r>
          </w:p>
          <w:p w14:paraId="7075999A" w14:textId="3CB78817" w:rsidR="00005CA1" w:rsidRDefault="00005CA1" w:rsidP="0057797B">
            <w:pPr>
              <w:pStyle w:val="a7"/>
              <w:numPr>
                <w:ilvl w:val="0"/>
                <w:numId w:val="34"/>
              </w:numPr>
              <w:ind w:left="1011" w:hanging="284"/>
            </w:pPr>
            <w:r>
              <w:t>Aplicarea unui preț pentru dezechilibru în excedent mic, care duce la fel la acumularea fondurilor suplimentare de către OST</w:t>
            </w:r>
            <w:r w:rsidR="00BE0421">
              <w:t>, și la reducerea veniturilor înregistrate de PRE-urile care au cauzat dezechilibre pozitive;</w:t>
            </w:r>
          </w:p>
          <w:p w14:paraId="2C98C401" w14:textId="5731F249" w:rsidR="00005CA1" w:rsidRDefault="00005CA1" w:rsidP="0057797B">
            <w:pPr>
              <w:pStyle w:val="a7"/>
              <w:numPr>
                <w:ilvl w:val="0"/>
                <w:numId w:val="34"/>
              </w:numPr>
              <w:ind w:left="1011" w:hanging="284"/>
            </w:pPr>
            <w:r>
              <w:t xml:space="preserve">Utilizarea în continuare ca preț de referință a prețului pentru ziua următoare din Ucraina, care în contextul actual al plafonării nu reflectă principiile stabilirii unor prețuri </w:t>
            </w:r>
            <w:r w:rsidR="008F0A22">
              <w:t>concurențiale</w:t>
            </w:r>
            <w:r>
              <w:t xml:space="preserve">, și deci nu poate fi utilizat în continuare drept preț de referință; </w:t>
            </w:r>
          </w:p>
          <w:p w14:paraId="0599C8D1" w14:textId="58BEAD3F" w:rsidR="00005CA1" w:rsidRDefault="00005CA1" w:rsidP="0057797B">
            <w:pPr>
              <w:pStyle w:val="a7"/>
              <w:numPr>
                <w:ilvl w:val="0"/>
                <w:numId w:val="34"/>
              </w:numPr>
              <w:ind w:left="1011" w:hanging="284"/>
            </w:pPr>
            <w:r>
              <w:t>Repartizarea în continuare a veniturilor/costurilor suplimentare înregistrate de OST doar către PRE-urile care au consumatori finali o să ducă în continuare la o inechitate, ceea ce va duce la înrăutățirea situației PRE-urilor care nu au consumatori finali (în principal producători de energie electrică</w:t>
            </w:r>
            <w:r w:rsidR="0002753D">
              <w:t xml:space="preserve"> din surse regenerabile</w:t>
            </w:r>
            <w:r>
              <w:t xml:space="preserve">). Astfel, cuantumul financiar suplimentar care </w:t>
            </w:r>
            <w:r w:rsidR="002B21CF">
              <w:t>este</w:t>
            </w:r>
            <w:r>
              <w:t xml:space="preserve"> perceput de la toate PRE-urile în continuare</w:t>
            </w:r>
            <w:r w:rsidR="002B21CF">
              <w:t xml:space="preserve"> va fi repartizat doar anumitor categorii de participanți la piață, punând în pericol viabilitatea financiară a altor categorii de participanți a</w:t>
            </w:r>
            <w:r w:rsidR="008D145D">
              <w:t>i</w:t>
            </w:r>
            <w:r w:rsidR="002B21CF">
              <w:t xml:space="preserve"> pi</w:t>
            </w:r>
            <w:r w:rsidR="008D145D">
              <w:t>e</w:t>
            </w:r>
            <w:r w:rsidR="002B21CF">
              <w:t>ț</w:t>
            </w:r>
            <w:r w:rsidR="008D145D">
              <w:t>ei</w:t>
            </w:r>
            <w:r w:rsidR="002B21CF">
              <w:t>;</w:t>
            </w:r>
            <w:r>
              <w:t xml:space="preserve">  </w:t>
            </w:r>
          </w:p>
          <w:p w14:paraId="7DAEAFCE" w14:textId="2207C6C9" w:rsidR="002B21CF" w:rsidRDefault="002B21CF" w:rsidP="002B21CF">
            <w:pPr>
              <w:pStyle w:val="a7"/>
              <w:numPr>
                <w:ilvl w:val="0"/>
                <w:numId w:val="34"/>
              </w:numPr>
              <w:ind w:left="1011" w:hanging="284"/>
            </w:pPr>
            <w:r>
              <w:t>Formarea unui fond suplimentar substanțial, peste necesitățile OST de achitare a costurilor pentru echilibrarea sistemului</w:t>
            </w:r>
            <w:r w:rsidR="008D145D">
              <w:t xml:space="preserve"> electroenergetic</w:t>
            </w:r>
            <w:r>
              <w:t>, cu respectiva repartizare a acestuia către o anumită categoria de PRE-uri;</w:t>
            </w:r>
          </w:p>
          <w:p w14:paraId="1FF99D9A" w14:textId="3C6B188C" w:rsidR="00535349" w:rsidRDefault="00535349" w:rsidP="00535349">
            <w:pPr>
              <w:ind w:firstLine="586"/>
              <w:jc w:val="both"/>
            </w:pPr>
            <w:r>
              <w:t xml:space="preserve">Astfel, păstrarea situației curente într-un orizont de timp scurt poate duce la creșterea sarcinii financiare aplicate PRE-urilor într-o măsura care va pune în dificultate și/sau va face imposibilă activitatea desfășurată de </w:t>
            </w:r>
            <w:r w:rsidR="00A56938">
              <w:t xml:space="preserve">unii </w:t>
            </w:r>
            <w:r>
              <w:t>participanții a</w:t>
            </w:r>
            <w:r w:rsidR="00A56938">
              <w:t>i</w:t>
            </w:r>
            <w:r>
              <w:t xml:space="preserve"> pi</w:t>
            </w:r>
            <w:r w:rsidR="00A56938">
              <w:t>e</w:t>
            </w:r>
            <w:r>
              <w:t>ț</w:t>
            </w:r>
            <w:r w:rsidR="00A56938">
              <w:t>ei energiei electrice</w:t>
            </w:r>
            <w:r>
              <w:t xml:space="preserve">, iar în rezultat poate fi afectată securitatea aprovizionării cu energie electrică a consumatorilor finali. </w:t>
            </w:r>
          </w:p>
          <w:p w14:paraId="5F9920A8" w14:textId="091FB1EE" w:rsidR="00BE0421" w:rsidRPr="009D4714" w:rsidRDefault="00535349" w:rsidP="00535349">
            <w:pPr>
              <w:ind w:firstLine="586"/>
              <w:jc w:val="both"/>
            </w:pPr>
            <w:r>
              <w:t xml:space="preserve">În ceea ce privește potențialele efecte pozitive ale situației actuale, acestea nu sunt identificate. </w:t>
            </w:r>
          </w:p>
        </w:tc>
      </w:tr>
      <w:tr w:rsidR="00FB609F" w:rsidRPr="009D4714" w14:paraId="13476938"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DD86FD8" w14:textId="77777777" w:rsidR="00FB609F" w:rsidRPr="009D4714" w:rsidRDefault="00F62480" w:rsidP="00176397">
            <w:r w:rsidRPr="009D4714">
              <w:rPr>
                <w:b/>
                <w:i/>
              </w:rPr>
              <w:t>b1) Pentru op</w:t>
            </w:r>
            <w:r w:rsidR="00176397" w:rsidRPr="009D4714">
              <w:rPr>
                <w:b/>
                <w:i/>
              </w:rPr>
              <w:t>ț</w:t>
            </w:r>
            <w:r w:rsidRPr="009D4714">
              <w:rPr>
                <w:b/>
                <w:i/>
              </w:rPr>
              <w:t>iunea recomandată, identifica</w:t>
            </w:r>
            <w:r w:rsidR="00176397" w:rsidRPr="009D4714">
              <w:rPr>
                <w:b/>
                <w:i/>
              </w:rPr>
              <w:t>ț</w:t>
            </w:r>
            <w:r w:rsidRPr="009D4714">
              <w:rPr>
                <w:b/>
                <w:i/>
              </w:rPr>
              <w:t>i impacturile completând tabelul din anexa la prezentul formular. Descrie</w:t>
            </w:r>
            <w:r w:rsidR="00176397" w:rsidRPr="009D4714">
              <w:rPr>
                <w:b/>
                <w:i/>
              </w:rPr>
              <w:t>ț</w:t>
            </w:r>
            <w:r w:rsidRPr="009D4714">
              <w:rPr>
                <w:b/>
                <w:i/>
              </w:rPr>
              <w:t>i pe larg impacturile sub formă de costuri sau beneficii, inclusiv păr</w:t>
            </w:r>
            <w:r w:rsidR="00176397" w:rsidRPr="009D4714">
              <w:rPr>
                <w:b/>
                <w:i/>
              </w:rPr>
              <w:t>ț</w:t>
            </w:r>
            <w:r w:rsidRPr="009D4714">
              <w:rPr>
                <w:b/>
                <w:i/>
              </w:rPr>
              <w:t xml:space="preserve">ile interesate care ar putea fi afectate pozitiv </w:t>
            </w:r>
            <w:r w:rsidR="00176397" w:rsidRPr="009D4714">
              <w:rPr>
                <w:b/>
                <w:i/>
              </w:rPr>
              <w:t>ș</w:t>
            </w:r>
            <w:r w:rsidRPr="009D4714">
              <w:rPr>
                <w:b/>
                <w:i/>
              </w:rPr>
              <w:t>i negativ de acestea</w:t>
            </w:r>
          </w:p>
        </w:tc>
      </w:tr>
      <w:tr w:rsidR="00FB609F" w:rsidRPr="009D4714" w14:paraId="68949B6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0113B5B" w14:textId="52AB6130" w:rsidR="00882E2F" w:rsidRPr="000D69FC" w:rsidRDefault="008066AC" w:rsidP="00621084">
            <w:pPr>
              <w:pStyle w:val="a7"/>
              <w:ind w:left="21" w:firstLine="426"/>
              <w:jc w:val="both"/>
            </w:pPr>
            <w:r>
              <w:t>C</w:t>
            </w:r>
            <w:r w:rsidR="00621084" w:rsidRPr="000D69FC">
              <w:t xml:space="preserve">onform estimărilor realizate pentru lunile ianuarie-martie 2023, implementarea modificărilor cu privire la calcularea prețului pentru dezechilibru în deficit și excedent, va avea un impact de reducere a venitului suplimentar acumulat de OST în mediu cu </w:t>
            </w:r>
            <w:r w:rsidR="00702302">
              <w:rPr>
                <w:b/>
              </w:rPr>
              <w:t>70,5</w:t>
            </w:r>
            <w:r w:rsidR="00621084" w:rsidRPr="000D69FC">
              <w:rPr>
                <w:b/>
              </w:rPr>
              <w:t>%</w:t>
            </w:r>
            <w:r w:rsidR="00621084" w:rsidRPr="000D69FC">
              <w:t xml:space="preserve">, în comparație cu rezultatele </w:t>
            </w:r>
            <w:r w:rsidR="00621084" w:rsidRPr="000D69FC">
              <w:lastRenderedPageBreak/>
              <w:t>obținute prin prisma prevederilor aplicabile la moment. În tabelul 4 sunt prezentate rezultatele comparative a plăților pentru dezechilibrele participanților la piață</w:t>
            </w:r>
            <w:r w:rsidR="00882E2F" w:rsidRPr="000D69FC">
              <w:t xml:space="preserve"> </w:t>
            </w:r>
            <w:r w:rsidR="00621084" w:rsidRPr="000D69FC">
              <w:t>în scenariul de bază (actual) și cu propunerile de modificare a RPEE</w:t>
            </w:r>
          </w:p>
          <w:p w14:paraId="2C92857C" w14:textId="247E1A2E" w:rsidR="00621084" w:rsidRPr="000D69FC" w:rsidRDefault="00621084" w:rsidP="000F5382">
            <w:pPr>
              <w:pStyle w:val="a7"/>
              <w:spacing w:before="120"/>
              <w:ind w:left="23" w:firstLine="425"/>
              <w:contextualSpacing w:val="0"/>
              <w:jc w:val="both"/>
            </w:pPr>
            <w:r w:rsidRPr="000D69FC">
              <w:rPr>
                <w:b/>
              </w:rPr>
              <w:t>Tabelul 4</w:t>
            </w:r>
            <w:r w:rsidRPr="000D69FC">
              <w:t>. Rezultatele teoretice ale aplicării modificărilor propuse în cadrul RPEE</w:t>
            </w:r>
            <w:r w:rsidR="00917D36" w:rsidRPr="000D69FC">
              <w:t xml:space="preserve"> comparativ cu scenariul de bază</w:t>
            </w:r>
          </w:p>
          <w:tbl>
            <w:tblPr>
              <w:tblW w:w="878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119"/>
              <w:gridCol w:w="2268"/>
              <w:gridCol w:w="1984"/>
              <w:gridCol w:w="1418"/>
            </w:tblGrid>
            <w:tr w:rsidR="000F5382" w:rsidRPr="000D69FC" w14:paraId="5F20156C" w14:textId="025B2268" w:rsidTr="00B94B23">
              <w:tc>
                <w:tcPr>
                  <w:tcW w:w="3119" w:type="dxa"/>
                  <w:shd w:val="clear" w:color="auto" w:fill="auto"/>
                  <w:tcMar>
                    <w:top w:w="15" w:type="dxa"/>
                    <w:left w:w="15" w:type="dxa"/>
                    <w:bottom w:w="0" w:type="dxa"/>
                    <w:right w:w="15" w:type="dxa"/>
                  </w:tcMar>
                  <w:vAlign w:val="center"/>
                  <w:hideMark/>
                </w:tcPr>
                <w:p w14:paraId="002009AA" w14:textId="5C0886D6" w:rsidR="000F5382" w:rsidRPr="000D69FC" w:rsidRDefault="000F5382" w:rsidP="00E26FFC">
                  <w:pPr>
                    <w:pStyle w:val="a7"/>
                    <w:ind w:left="0" w:firstLine="425"/>
                    <w:contextualSpacing w:val="0"/>
                    <w:jc w:val="center"/>
                    <w:rPr>
                      <w:b/>
                      <w:sz w:val="22"/>
                    </w:rPr>
                  </w:pPr>
                  <w:r w:rsidRPr="000D69FC">
                    <w:rPr>
                      <w:b/>
                      <w:bCs/>
                      <w:sz w:val="22"/>
                    </w:rPr>
                    <w:t>PLĂȚI</w:t>
                  </w:r>
                </w:p>
              </w:tc>
              <w:tc>
                <w:tcPr>
                  <w:tcW w:w="2268" w:type="dxa"/>
                  <w:shd w:val="clear" w:color="auto" w:fill="auto"/>
                  <w:tcMar>
                    <w:top w:w="15" w:type="dxa"/>
                    <w:left w:w="15" w:type="dxa"/>
                    <w:bottom w:w="0" w:type="dxa"/>
                    <w:right w:w="15" w:type="dxa"/>
                  </w:tcMar>
                  <w:vAlign w:val="center"/>
                  <w:hideMark/>
                </w:tcPr>
                <w:p w14:paraId="681F6F16" w14:textId="5551AA7C" w:rsidR="000F5382" w:rsidRPr="000D69FC" w:rsidRDefault="000F5382" w:rsidP="00E26FFC">
                  <w:pPr>
                    <w:pStyle w:val="a7"/>
                    <w:ind w:left="0"/>
                    <w:contextualSpacing w:val="0"/>
                    <w:jc w:val="center"/>
                    <w:rPr>
                      <w:b/>
                      <w:sz w:val="22"/>
                    </w:rPr>
                  </w:pPr>
                  <w:r w:rsidRPr="000D69FC">
                    <w:rPr>
                      <w:b/>
                      <w:sz w:val="22"/>
                    </w:rPr>
                    <w:t>Scenariul de bază</w:t>
                  </w:r>
                </w:p>
              </w:tc>
              <w:tc>
                <w:tcPr>
                  <w:tcW w:w="1984" w:type="dxa"/>
                  <w:shd w:val="clear" w:color="auto" w:fill="auto"/>
                  <w:tcMar>
                    <w:top w:w="15" w:type="dxa"/>
                    <w:left w:w="15" w:type="dxa"/>
                    <w:bottom w:w="0" w:type="dxa"/>
                    <w:right w:w="15" w:type="dxa"/>
                  </w:tcMar>
                  <w:vAlign w:val="center"/>
                  <w:hideMark/>
                </w:tcPr>
                <w:p w14:paraId="1D1238F7" w14:textId="324EB72B" w:rsidR="000F5382" w:rsidRPr="000D69FC" w:rsidRDefault="000F5382" w:rsidP="00E26FFC">
                  <w:pPr>
                    <w:jc w:val="center"/>
                    <w:rPr>
                      <w:b/>
                      <w:sz w:val="22"/>
                    </w:rPr>
                  </w:pPr>
                  <w:r w:rsidRPr="000D69FC">
                    <w:rPr>
                      <w:b/>
                      <w:bCs/>
                      <w:sz w:val="22"/>
                    </w:rPr>
                    <w:t>Modificarea propusă</w:t>
                  </w:r>
                </w:p>
              </w:tc>
              <w:tc>
                <w:tcPr>
                  <w:tcW w:w="1418" w:type="dxa"/>
                </w:tcPr>
                <w:p w14:paraId="7D439611" w14:textId="22866FFF" w:rsidR="000F5382" w:rsidRPr="000D69FC" w:rsidRDefault="000F5382" w:rsidP="00E26FFC">
                  <w:pPr>
                    <w:jc w:val="center"/>
                    <w:rPr>
                      <w:b/>
                      <w:bCs/>
                      <w:sz w:val="22"/>
                    </w:rPr>
                  </w:pPr>
                  <w:r w:rsidRPr="000D69FC">
                    <w:rPr>
                      <w:b/>
                      <w:bCs/>
                      <w:sz w:val="22"/>
                    </w:rPr>
                    <w:t>Reducere, %</w:t>
                  </w:r>
                </w:p>
              </w:tc>
            </w:tr>
            <w:tr w:rsidR="000F5382" w:rsidRPr="000D69FC" w14:paraId="706DB81D" w14:textId="24E1036A" w:rsidTr="00B94B23">
              <w:tc>
                <w:tcPr>
                  <w:tcW w:w="8789" w:type="dxa"/>
                  <w:gridSpan w:val="4"/>
                  <w:shd w:val="clear" w:color="auto" w:fill="auto"/>
                  <w:tcMar>
                    <w:top w:w="15" w:type="dxa"/>
                    <w:left w:w="135" w:type="dxa"/>
                    <w:bottom w:w="0" w:type="dxa"/>
                    <w:right w:w="15" w:type="dxa"/>
                  </w:tcMar>
                  <w:vAlign w:val="bottom"/>
                </w:tcPr>
                <w:p w14:paraId="674CC003" w14:textId="617BA8C0" w:rsidR="000F5382" w:rsidRPr="000D69FC" w:rsidRDefault="000F5382" w:rsidP="000F5382">
                  <w:pPr>
                    <w:pStyle w:val="a7"/>
                    <w:ind w:left="0"/>
                    <w:contextualSpacing w:val="0"/>
                    <w:jc w:val="center"/>
                    <w:rPr>
                      <w:b/>
                      <w:sz w:val="22"/>
                    </w:rPr>
                  </w:pPr>
                  <w:r w:rsidRPr="000D69FC">
                    <w:rPr>
                      <w:b/>
                      <w:sz w:val="22"/>
                    </w:rPr>
                    <w:t>IANUARIE 2023</w:t>
                  </w:r>
                </w:p>
              </w:tc>
            </w:tr>
            <w:tr w:rsidR="000F5382" w:rsidRPr="000D69FC" w14:paraId="3D62A64E" w14:textId="066F3060" w:rsidTr="00B94B23">
              <w:tc>
                <w:tcPr>
                  <w:tcW w:w="3119" w:type="dxa"/>
                  <w:shd w:val="clear" w:color="auto" w:fill="auto"/>
                  <w:tcMar>
                    <w:top w:w="15" w:type="dxa"/>
                    <w:left w:w="135" w:type="dxa"/>
                    <w:bottom w:w="0" w:type="dxa"/>
                    <w:right w:w="15" w:type="dxa"/>
                  </w:tcMar>
                  <w:vAlign w:val="bottom"/>
                  <w:hideMark/>
                </w:tcPr>
                <w:p w14:paraId="6CE2CB30" w14:textId="77777777" w:rsidR="000F5382" w:rsidRPr="000D69FC" w:rsidRDefault="000F5382" w:rsidP="00E26FFC">
                  <w:pPr>
                    <w:pStyle w:val="a7"/>
                    <w:ind w:left="0"/>
                    <w:contextualSpacing w:val="0"/>
                    <w:jc w:val="both"/>
                    <w:rPr>
                      <w:sz w:val="22"/>
                    </w:rPr>
                  </w:pPr>
                  <w:r w:rsidRPr="000D69FC">
                    <w:rPr>
                      <w:sz w:val="22"/>
                    </w:rPr>
                    <w:t>OST către PRE (</w:t>
                  </w:r>
                  <w:proofErr w:type="spellStart"/>
                  <w:r w:rsidRPr="000D69FC">
                    <w:rPr>
                      <w:sz w:val="22"/>
                    </w:rPr>
                    <w:t>dez</w:t>
                  </w:r>
                  <w:proofErr w:type="spellEnd"/>
                  <w:r w:rsidRPr="000D69FC">
                    <w:rPr>
                      <w:sz w:val="22"/>
                    </w:rPr>
                    <w:t xml:space="preserve">. </w:t>
                  </w:r>
                  <w:proofErr w:type="spellStart"/>
                  <w:r w:rsidRPr="000D69FC">
                    <w:rPr>
                      <w:sz w:val="22"/>
                    </w:rPr>
                    <w:t>poz</w:t>
                  </w:r>
                  <w:proofErr w:type="spellEnd"/>
                  <w:r w:rsidRPr="000D69FC">
                    <w:rPr>
                      <w:sz w:val="22"/>
                    </w:rPr>
                    <w:t>.)</w:t>
                  </w:r>
                </w:p>
              </w:tc>
              <w:tc>
                <w:tcPr>
                  <w:tcW w:w="2268" w:type="dxa"/>
                  <w:shd w:val="clear" w:color="auto" w:fill="auto"/>
                  <w:tcMar>
                    <w:top w:w="15" w:type="dxa"/>
                    <w:left w:w="15" w:type="dxa"/>
                    <w:bottom w:w="0" w:type="dxa"/>
                    <w:right w:w="15" w:type="dxa"/>
                  </w:tcMar>
                  <w:vAlign w:val="bottom"/>
                  <w:hideMark/>
                </w:tcPr>
                <w:p w14:paraId="5399F369" w14:textId="358A975F" w:rsidR="000F5382" w:rsidRPr="000D69FC" w:rsidRDefault="000F5382" w:rsidP="003A0427">
                  <w:pPr>
                    <w:pStyle w:val="a7"/>
                    <w:ind w:left="0"/>
                    <w:contextualSpacing w:val="0"/>
                    <w:jc w:val="center"/>
                    <w:rPr>
                      <w:sz w:val="22"/>
                    </w:rPr>
                  </w:pPr>
                  <w:r w:rsidRPr="000D69FC">
                    <w:rPr>
                      <w:sz w:val="22"/>
                    </w:rPr>
                    <w:t>8,</w:t>
                  </w:r>
                  <w:r w:rsidR="003A0427">
                    <w:rPr>
                      <w:sz w:val="22"/>
                    </w:rPr>
                    <w:t>518,725.92</w:t>
                  </w:r>
                </w:p>
              </w:tc>
              <w:tc>
                <w:tcPr>
                  <w:tcW w:w="1984" w:type="dxa"/>
                  <w:shd w:val="clear" w:color="auto" w:fill="auto"/>
                  <w:tcMar>
                    <w:top w:w="15" w:type="dxa"/>
                    <w:left w:w="15" w:type="dxa"/>
                    <w:bottom w:w="0" w:type="dxa"/>
                    <w:right w:w="15" w:type="dxa"/>
                  </w:tcMar>
                  <w:vAlign w:val="bottom"/>
                  <w:hideMark/>
                </w:tcPr>
                <w:p w14:paraId="4EE4DF98" w14:textId="6182DBBD" w:rsidR="000F5382" w:rsidRPr="000D69FC" w:rsidRDefault="00E14FF1" w:rsidP="00E14FF1">
                  <w:pPr>
                    <w:pStyle w:val="a7"/>
                    <w:ind w:left="0"/>
                    <w:contextualSpacing w:val="0"/>
                    <w:jc w:val="center"/>
                    <w:rPr>
                      <w:sz w:val="22"/>
                    </w:rPr>
                  </w:pPr>
                  <w:r>
                    <w:rPr>
                      <w:sz w:val="22"/>
                    </w:rPr>
                    <w:t>27,307,295.18</w:t>
                  </w:r>
                </w:p>
              </w:tc>
              <w:tc>
                <w:tcPr>
                  <w:tcW w:w="1418" w:type="dxa"/>
                </w:tcPr>
                <w:p w14:paraId="729F7AF5" w14:textId="77777777" w:rsidR="000F5382" w:rsidRPr="000D69FC" w:rsidRDefault="000F5382" w:rsidP="00917D36">
                  <w:pPr>
                    <w:pStyle w:val="a7"/>
                    <w:ind w:left="0" w:firstLine="425"/>
                    <w:contextualSpacing w:val="0"/>
                    <w:jc w:val="both"/>
                    <w:rPr>
                      <w:sz w:val="22"/>
                    </w:rPr>
                  </w:pPr>
                </w:p>
              </w:tc>
            </w:tr>
            <w:tr w:rsidR="000F5382" w:rsidRPr="000D69FC" w14:paraId="6F5C71D3" w14:textId="6B3D1006" w:rsidTr="00B94B23">
              <w:tc>
                <w:tcPr>
                  <w:tcW w:w="3119" w:type="dxa"/>
                  <w:shd w:val="clear" w:color="auto" w:fill="auto"/>
                  <w:tcMar>
                    <w:top w:w="15" w:type="dxa"/>
                    <w:left w:w="135" w:type="dxa"/>
                    <w:bottom w:w="0" w:type="dxa"/>
                    <w:right w:w="15" w:type="dxa"/>
                  </w:tcMar>
                  <w:vAlign w:val="bottom"/>
                  <w:hideMark/>
                </w:tcPr>
                <w:p w14:paraId="0C92E13F" w14:textId="77777777" w:rsidR="000F5382" w:rsidRPr="000D69FC" w:rsidRDefault="000F5382" w:rsidP="00E26FFC">
                  <w:pPr>
                    <w:pStyle w:val="a7"/>
                    <w:ind w:left="0"/>
                    <w:contextualSpacing w:val="0"/>
                    <w:jc w:val="both"/>
                    <w:rPr>
                      <w:sz w:val="22"/>
                    </w:rPr>
                  </w:pPr>
                  <w:r w:rsidRPr="000D69FC">
                    <w:rPr>
                      <w:sz w:val="22"/>
                    </w:rPr>
                    <w:t>PRE către OST (</w:t>
                  </w:r>
                  <w:proofErr w:type="spellStart"/>
                  <w:r w:rsidRPr="000D69FC">
                    <w:rPr>
                      <w:sz w:val="22"/>
                    </w:rPr>
                    <w:t>dez</w:t>
                  </w:r>
                  <w:proofErr w:type="spellEnd"/>
                  <w:r w:rsidRPr="000D69FC">
                    <w:rPr>
                      <w:sz w:val="22"/>
                    </w:rPr>
                    <w:t>. neg.)</w:t>
                  </w:r>
                </w:p>
              </w:tc>
              <w:tc>
                <w:tcPr>
                  <w:tcW w:w="2268" w:type="dxa"/>
                  <w:shd w:val="clear" w:color="auto" w:fill="auto"/>
                  <w:tcMar>
                    <w:top w:w="15" w:type="dxa"/>
                    <w:left w:w="15" w:type="dxa"/>
                    <w:bottom w:w="0" w:type="dxa"/>
                    <w:right w:w="15" w:type="dxa"/>
                  </w:tcMar>
                  <w:vAlign w:val="bottom"/>
                  <w:hideMark/>
                </w:tcPr>
                <w:p w14:paraId="79D7D85E" w14:textId="0DFC5C16" w:rsidR="000F5382" w:rsidRPr="000D69FC" w:rsidRDefault="000F5382" w:rsidP="003A0427">
                  <w:pPr>
                    <w:pStyle w:val="a7"/>
                    <w:ind w:left="0"/>
                    <w:contextualSpacing w:val="0"/>
                    <w:jc w:val="center"/>
                    <w:rPr>
                      <w:sz w:val="22"/>
                    </w:rPr>
                  </w:pPr>
                  <w:r w:rsidRPr="000D69FC">
                    <w:rPr>
                      <w:sz w:val="22"/>
                    </w:rPr>
                    <w:t>46,</w:t>
                  </w:r>
                  <w:r w:rsidR="003A0427">
                    <w:rPr>
                      <w:sz w:val="22"/>
                    </w:rPr>
                    <w:t>891,737,67</w:t>
                  </w:r>
                </w:p>
              </w:tc>
              <w:tc>
                <w:tcPr>
                  <w:tcW w:w="1984" w:type="dxa"/>
                  <w:shd w:val="clear" w:color="auto" w:fill="auto"/>
                  <w:tcMar>
                    <w:top w:w="15" w:type="dxa"/>
                    <w:left w:w="15" w:type="dxa"/>
                    <w:bottom w:w="0" w:type="dxa"/>
                    <w:right w:w="15" w:type="dxa"/>
                  </w:tcMar>
                  <w:vAlign w:val="bottom"/>
                  <w:hideMark/>
                </w:tcPr>
                <w:p w14:paraId="2617852A" w14:textId="66C4D743" w:rsidR="000F5382" w:rsidRPr="000D69FC" w:rsidRDefault="000F5382" w:rsidP="003104FB">
                  <w:pPr>
                    <w:pStyle w:val="a7"/>
                    <w:ind w:left="0"/>
                    <w:contextualSpacing w:val="0"/>
                    <w:jc w:val="center"/>
                    <w:rPr>
                      <w:sz w:val="22"/>
                    </w:rPr>
                  </w:pPr>
                  <w:r w:rsidRPr="000D69FC">
                    <w:rPr>
                      <w:sz w:val="22"/>
                    </w:rPr>
                    <w:t>3</w:t>
                  </w:r>
                  <w:r w:rsidR="003A0427">
                    <w:rPr>
                      <w:sz w:val="22"/>
                    </w:rPr>
                    <w:t>7,767,716.87</w:t>
                  </w:r>
                </w:p>
              </w:tc>
              <w:tc>
                <w:tcPr>
                  <w:tcW w:w="1418" w:type="dxa"/>
                </w:tcPr>
                <w:p w14:paraId="209C9C4F" w14:textId="77777777" w:rsidR="000F5382" w:rsidRPr="000D69FC" w:rsidRDefault="000F5382" w:rsidP="00917D36">
                  <w:pPr>
                    <w:pStyle w:val="a7"/>
                    <w:ind w:left="0" w:firstLine="425"/>
                    <w:contextualSpacing w:val="0"/>
                    <w:jc w:val="both"/>
                    <w:rPr>
                      <w:sz w:val="22"/>
                    </w:rPr>
                  </w:pPr>
                </w:p>
              </w:tc>
            </w:tr>
            <w:tr w:rsidR="000F5382" w:rsidRPr="000D69FC" w14:paraId="5F3510AF" w14:textId="33254C5B" w:rsidTr="00B94B23">
              <w:tc>
                <w:tcPr>
                  <w:tcW w:w="3119" w:type="dxa"/>
                  <w:shd w:val="clear" w:color="auto" w:fill="auto"/>
                  <w:tcMar>
                    <w:top w:w="15" w:type="dxa"/>
                    <w:left w:w="135" w:type="dxa"/>
                    <w:bottom w:w="0" w:type="dxa"/>
                    <w:right w:w="15" w:type="dxa"/>
                  </w:tcMar>
                  <w:vAlign w:val="bottom"/>
                  <w:hideMark/>
                </w:tcPr>
                <w:p w14:paraId="48879620" w14:textId="77777777" w:rsidR="000F5382" w:rsidRPr="000D69FC" w:rsidRDefault="000F5382" w:rsidP="00E26FFC">
                  <w:pPr>
                    <w:pStyle w:val="a7"/>
                    <w:ind w:left="0"/>
                    <w:contextualSpacing w:val="0"/>
                    <w:jc w:val="both"/>
                    <w:rPr>
                      <w:sz w:val="22"/>
                    </w:rPr>
                  </w:pPr>
                  <w:proofErr w:type="spellStart"/>
                  <w:r w:rsidRPr="000D69FC">
                    <w:rPr>
                      <w:sz w:val="22"/>
                    </w:rPr>
                    <w:t>Rr</w:t>
                  </w:r>
                  <w:proofErr w:type="spellEnd"/>
                  <w:r w:rsidRPr="000D69FC">
                    <w:rPr>
                      <w:sz w:val="22"/>
                    </w:rPr>
                    <w:t xml:space="preserve"> (Venit OST de la </w:t>
                  </w:r>
                  <w:proofErr w:type="spellStart"/>
                  <w:r w:rsidRPr="000D69FC">
                    <w:rPr>
                      <w:sz w:val="22"/>
                    </w:rPr>
                    <w:t>ech</w:t>
                  </w:r>
                  <w:proofErr w:type="spellEnd"/>
                  <w:r w:rsidRPr="000D69FC">
                    <w:rPr>
                      <w:sz w:val="22"/>
                    </w:rPr>
                    <w:t>.)</w:t>
                  </w:r>
                </w:p>
              </w:tc>
              <w:tc>
                <w:tcPr>
                  <w:tcW w:w="2268" w:type="dxa"/>
                  <w:shd w:val="clear" w:color="auto" w:fill="auto"/>
                  <w:tcMar>
                    <w:top w:w="15" w:type="dxa"/>
                    <w:left w:w="15" w:type="dxa"/>
                    <w:bottom w:w="0" w:type="dxa"/>
                    <w:right w:w="15" w:type="dxa"/>
                  </w:tcMar>
                  <w:vAlign w:val="bottom"/>
                  <w:hideMark/>
                </w:tcPr>
                <w:p w14:paraId="149727D0" w14:textId="77777777" w:rsidR="000F5382" w:rsidRPr="000D69FC" w:rsidRDefault="000F5382" w:rsidP="003104FB">
                  <w:pPr>
                    <w:pStyle w:val="a7"/>
                    <w:ind w:left="0"/>
                    <w:contextualSpacing w:val="0"/>
                    <w:jc w:val="center"/>
                    <w:rPr>
                      <w:sz w:val="22"/>
                    </w:rPr>
                  </w:pPr>
                  <w:r w:rsidRPr="000D69FC">
                    <w:rPr>
                      <w:sz w:val="22"/>
                    </w:rPr>
                    <w:t>29,776,077.21</w:t>
                  </w:r>
                </w:p>
              </w:tc>
              <w:tc>
                <w:tcPr>
                  <w:tcW w:w="1984" w:type="dxa"/>
                  <w:shd w:val="clear" w:color="auto" w:fill="auto"/>
                  <w:tcMar>
                    <w:top w:w="15" w:type="dxa"/>
                    <w:left w:w="15" w:type="dxa"/>
                    <w:bottom w:w="0" w:type="dxa"/>
                    <w:right w:w="15" w:type="dxa"/>
                  </w:tcMar>
                  <w:vAlign w:val="bottom"/>
                  <w:hideMark/>
                </w:tcPr>
                <w:p w14:paraId="5A6B3DF7" w14:textId="77777777" w:rsidR="000F5382" w:rsidRPr="000D69FC" w:rsidRDefault="000F5382" w:rsidP="003104FB">
                  <w:pPr>
                    <w:pStyle w:val="a7"/>
                    <w:ind w:left="0"/>
                    <w:contextualSpacing w:val="0"/>
                    <w:jc w:val="center"/>
                    <w:rPr>
                      <w:sz w:val="22"/>
                    </w:rPr>
                  </w:pPr>
                  <w:r w:rsidRPr="000D69FC">
                    <w:rPr>
                      <w:sz w:val="22"/>
                    </w:rPr>
                    <w:t>29,776,077.21</w:t>
                  </w:r>
                </w:p>
              </w:tc>
              <w:tc>
                <w:tcPr>
                  <w:tcW w:w="1418" w:type="dxa"/>
                </w:tcPr>
                <w:p w14:paraId="38EF07BD" w14:textId="77777777" w:rsidR="000F5382" w:rsidRPr="000D69FC" w:rsidRDefault="000F5382" w:rsidP="00917D36">
                  <w:pPr>
                    <w:pStyle w:val="a7"/>
                    <w:ind w:left="0" w:firstLine="425"/>
                    <w:contextualSpacing w:val="0"/>
                    <w:jc w:val="both"/>
                    <w:rPr>
                      <w:sz w:val="22"/>
                    </w:rPr>
                  </w:pPr>
                </w:p>
              </w:tc>
            </w:tr>
            <w:tr w:rsidR="000F5382" w:rsidRPr="000D69FC" w14:paraId="296F8A8A" w14:textId="4508BED8" w:rsidTr="00B94B23">
              <w:tc>
                <w:tcPr>
                  <w:tcW w:w="3119" w:type="dxa"/>
                  <w:shd w:val="clear" w:color="auto" w:fill="auto"/>
                  <w:tcMar>
                    <w:top w:w="15" w:type="dxa"/>
                    <w:left w:w="135" w:type="dxa"/>
                    <w:bottom w:w="0" w:type="dxa"/>
                    <w:right w:w="15" w:type="dxa"/>
                  </w:tcMar>
                  <w:vAlign w:val="bottom"/>
                  <w:hideMark/>
                </w:tcPr>
                <w:p w14:paraId="11CDEF41" w14:textId="77777777" w:rsidR="000F5382" w:rsidRPr="000D69FC" w:rsidRDefault="000F5382" w:rsidP="00E26FFC">
                  <w:pPr>
                    <w:pStyle w:val="a7"/>
                    <w:ind w:left="0"/>
                    <w:contextualSpacing w:val="0"/>
                    <w:jc w:val="both"/>
                    <w:rPr>
                      <w:sz w:val="22"/>
                    </w:rPr>
                  </w:pPr>
                  <w:proofErr w:type="spellStart"/>
                  <w:r w:rsidRPr="000D69FC">
                    <w:rPr>
                      <w:sz w:val="22"/>
                    </w:rPr>
                    <w:t>Rc</w:t>
                  </w:r>
                  <w:proofErr w:type="spellEnd"/>
                  <w:r w:rsidRPr="000D69FC">
                    <w:rPr>
                      <w:sz w:val="22"/>
                    </w:rPr>
                    <w:t xml:space="preserve"> (Cost OST de la </w:t>
                  </w:r>
                  <w:proofErr w:type="spellStart"/>
                  <w:r w:rsidRPr="000D69FC">
                    <w:rPr>
                      <w:sz w:val="22"/>
                    </w:rPr>
                    <w:t>ech</w:t>
                  </w:r>
                  <w:proofErr w:type="spellEnd"/>
                  <w:r w:rsidRPr="000D69FC">
                    <w:rPr>
                      <w:sz w:val="22"/>
                    </w:rPr>
                    <w:t>.)</w:t>
                  </w:r>
                </w:p>
              </w:tc>
              <w:tc>
                <w:tcPr>
                  <w:tcW w:w="2268" w:type="dxa"/>
                  <w:shd w:val="clear" w:color="auto" w:fill="auto"/>
                  <w:tcMar>
                    <w:top w:w="15" w:type="dxa"/>
                    <w:left w:w="15" w:type="dxa"/>
                    <w:bottom w:w="0" w:type="dxa"/>
                    <w:right w:w="15" w:type="dxa"/>
                  </w:tcMar>
                  <w:vAlign w:val="bottom"/>
                  <w:hideMark/>
                </w:tcPr>
                <w:p w14:paraId="246056C0" w14:textId="77777777" w:rsidR="000F5382" w:rsidRPr="000D69FC" w:rsidRDefault="000F5382" w:rsidP="003104FB">
                  <w:pPr>
                    <w:pStyle w:val="a7"/>
                    <w:ind w:left="0"/>
                    <w:contextualSpacing w:val="0"/>
                    <w:jc w:val="center"/>
                    <w:rPr>
                      <w:sz w:val="22"/>
                    </w:rPr>
                  </w:pPr>
                  <w:r w:rsidRPr="000D69FC">
                    <w:rPr>
                      <w:sz w:val="22"/>
                    </w:rPr>
                    <w:t>31,724,372.37</w:t>
                  </w:r>
                </w:p>
              </w:tc>
              <w:tc>
                <w:tcPr>
                  <w:tcW w:w="1984" w:type="dxa"/>
                  <w:shd w:val="clear" w:color="auto" w:fill="auto"/>
                  <w:tcMar>
                    <w:top w:w="15" w:type="dxa"/>
                    <w:left w:w="15" w:type="dxa"/>
                    <w:bottom w:w="0" w:type="dxa"/>
                    <w:right w:w="15" w:type="dxa"/>
                  </w:tcMar>
                  <w:vAlign w:val="bottom"/>
                  <w:hideMark/>
                </w:tcPr>
                <w:p w14:paraId="7A54FCB4" w14:textId="77777777" w:rsidR="000F5382" w:rsidRPr="000D69FC" w:rsidRDefault="000F5382" w:rsidP="003104FB">
                  <w:pPr>
                    <w:pStyle w:val="a7"/>
                    <w:ind w:left="0"/>
                    <w:contextualSpacing w:val="0"/>
                    <w:jc w:val="center"/>
                    <w:rPr>
                      <w:sz w:val="22"/>
                    </w:rPr>
                  </w:pPr>
                  <w:r w:rsidRPr="000D69FC">
                    <w:rPr>
                      <w:sz w:val="22"/>
                    </w:rPr>
                    <w:t>31,724,372.37</w:t>
                  </w:r>
                </w:p>
              </w:tc>
              <w:tc>
                <w:tcPr>
                  <w:tcW w:w="1418" w:type="dxa"/>
                </w:tcPr>
                <w:p w14:paraId="7B8E2E7F" w14:textId="77777777" w:rsidR="000F5382" w:rsidRPr="000D69FC" w:rsidRDefault="000F5382" w:rsidP="00917D36">
                  <w:pPr>
                    <w:pStyle w:val="a7"/>
                    <w:ind w:left="0" w:firstLine="425"/>
                    <w:contextualSpacing w:val="0"/>
                    <w:jc w:val="both"/>
                    <w:rPr>
                      <w:sz w:val="22"/>
                    </w:rPr>
                  </w:pPr>
                </w:p>
              </w:tc>
            </w:tr>
            <w:tr w:rsidR="000F5382" w:rsidRPr="000D69FC" w14:paraId="5FFA6130" w14:textId="189AA9A9" w:rsidTr="00B94B23">
              <w:tc>
                <w:tcPr>
                  <w:tcW w:w="3119" w:type="dxa"/>
                  <w:tcBorders>
                    <w:bottom w:val="single" w:sz="4" w:space="0" w:color="auto"/>
                  </w:tcBorders>
                  <w:shd w:val="clear" w:color="auto" w:fill="auto"/>
                  <w:tcMar>
                    <w:top w:w="15" w:type="dxa"/>
                    <w:left w:w="135" w:type="dxa"/>
                    <w:bottom w:w="0" w:type="dxa"/>
                    <w:right w:w="15" w:type="dxa"/>
                  </w:tcMar>
                  <w:vAlign w:val="bottom"/>
                  <w:hideMark/>
                </w:tcPr>
                <w:p w14:paraId="3722A16E" w14:textId="43A6BA9F" w:rsidR="000F5382" w:rsidRPr="000D69FC" w:rsidRDefault="000F5382" w:rsidP="00E26FFC">
                  <w:pPr>
                    <w:pStyle w:val="a7"/>
                    <w:ind w:left="0"/>
                    <w:contextualSpacing w:val="0"/>
                    <w:jc w:val="both"/>
                    <w:rPr>
                      <w:sz w:val="22"/>
                    </w:rPr>
                  </w:pPr>
                  <w:r w:rsidRPr="000D69FC">
                    <w:rPr>
                      <w:sz w:val="22"/>
                    </w:rPr>
                    <w:t xml:space="preserve">Cost/venit suplimentar înregistrat de OST (-) cost </w:t>
                  </w:r>
                </w:p>
                <w:p w14:paraId="4697D5DF" w14:textId="77777777" w:rsidR="000F5382" w:rsidRPr="000D69FC" w:rsidRDefault="000F5382" w:rsidP="00E26FFC">
                  <w:pPr>
                    <w:pStyle w:val="a7"/>
                    <w:ind w:left="0"/>
                    <w:contextualSpacing w:val="0"/>
                    <w:jc w:val="both"/>
                    <w:rPr>
                      <w:sz w:val="22"/>
                    </w:rPr>
                  </w:pPr>
                  <w:r w:rsidRPr="000D69FC">
                    <w:rPr>
                      <w:sz w:val="22"/>
                    </w:rPr>
                    <w:t>(+) venit</w:t>
                  </w:r>
                </w:p>
              </w:tc>
              <w:tc>
                <w:tcPr>
                  <w:tcW w:w="2268" w:type="dxa"/>
                  <w:tcBorders>
                    <w:bottom w:val="single" w:sz="4" w:space="0" w:color="auto"/>
                  </w:tcBorders>
                  <w:shd w:val="clear" w:color="auto" w:fill="auto"/>
                  <w:tcMar>
                    <w:top w:w="15" w:type="dxa"/>
                    <w:left w:w="15" w:type="dxa"/>
                    <w:bottom w:w="0" w:type="dxa"/>
                    <w:right w:w="15" w:type="dxa"/>
                  </w:tcMar>
                  <w:vAlign w:val="center"/>
                  <w:hideMark/>
                </w:tcPr>
                <w:p w14:paraId="49F4AED8" w14:textId="77777777" w:rsidR="000F5382" w:rsidRPr="000D69FC" w:rsidRDefault="000F5382" w:rsidP="003104FB">
                  <w:pPr>
                    <w:pStyle w:val="a7"/>
                    <w:ind w:left="0"/>
                    <w:contextualSpacing w:val="0"/>
                    <w:jc w:val="center"/>
                    <w:rPr>
                      <w:sz w:val="22"/>
                    </w:rPr>
                  </w:pPr>
                  <w:r w:rsidRPr="000D69FC">
                    <w:rPr>
                      <w:sz w:val="22"/>
                    </w:rPr>
                    <w:t>36,424,716.59</w:t>
                  </w:r>
                </w:p>
              </w:tc>
              <w:tc>
                <w:tcPr>
                  <w:tcW w:w="1984" w:type="dxa"/>
                  <w:tcBorders>
                    <w:bottom w:val="single" w:sz="4" w:space="0" w:color="auto"/>
                  </w:tcBorders>
                  <w:shd w:val="clear" w:color="auto" w:fill="auto"/>
                  <w:tcMar>
                    <w:top w:w="15" w:type="dxa"/>
                    <w:left w:w="15" w:type="dxa"/>
                    <w:bottom w:w="0" w:type="dxa"/>
                    <w:right w:w="15" w:type="dxa"/>
                  </w:tcMar>
                  <w:vAlign w:val="center"/>
                  <w:hideMark/>
                </w:tcPr>
                <w:p w14:paraId="360459EB" w14:textId="6DA12013" w:rsidR="000F5382" w:rsidRPr="000D69FC" w:rsidRDefault="00E14FF1" w:rsidP="003104FB">
                  <w:pPr>
                    <w:pStyle w:val="a7"/>
                    <w:ind w:left="0"/>
                    <w:contextualSpacing w:val="0"/>
                    <w:jc w:val="center"/>
                    <w:rPr>
                      <w:sz w:val="22"/>
                    </w:rPr>
                  </w:pPr>
                  <w:r>
                    <w:rPr>
                      <w:sz w:val="22"/>
                    </w:rPr>
                    <w:t>8,512,126,53</w:t>
                  </w:r>
                </w:p>
              </w:tc>
              <w:tc>
                <w:tcPr>
                  <w:tcW w:w="1418" w:type="dxa"/>
                  <w:tcBorders>
                    <w:bottom w:val="single" w:sz="4" w:space="0" w:color="auto"/>
                  </w:tcBorders>
                  <w:vAlign w:val="center"/>
                </w:tcPr>
                <w:p w14:paraId="006B850D" w14:textId="4AF1627E" w:rsidR="000F5382" w:rsidRPr="000D69FC" w:rsidRDefault="003104FB" w:rsidP="00E14FF1">
                  <w:pPr>
                    <w:pStyle w:val="a7"/>
                    <w:ind w:left="0"/>
                    <w:contextualSpacing w:val="0"/>
                    <w:jc w:val="center"/>
                    <w:rPr>
                      <w:sz w:val="22"/>
                    </w:rPr>
                  </w:pPr>
                  <w:r w:rsidRPr="000D69FC">
                    <w:rPr>
                      <w:sz w:val="22"/>
                    </w:rPr>
                    <w:t>-</w:t>
                  </w:r>
                  <w:r w:rsidR="00E14FF1">
                    <w:rPr>
                      <w:sz w:val="22"/>
                    </w:rPr>
                    <w:t>76,7</w:t>
                  </w:r>
                </w:p>
              </w:tc>
            </w:tr>
            <w:tr w:rsidR="000F5382" w:rsidRPr="000D69FC" w14:paraId="5D15D5B3" w14:textId="77777777" w:rsidTr="00B94B23">
              <w:tc>
                <w:tcPr>
                  <w:tcW w:w="8789" w:type="dxa"/>
                  <w:gridSpan w:val="4"/>
                  <w:shd w:val="clear" w:color="auto" w:fill="auto"/>
                  <w:tcMar>
                    <w:top w:w="15" w:type="dxa"/>
                    <w:left w:w="135" w:type="dxa"/>
                    <w:bottom w:w="0" w:type="dxa"/>
                    <w:right w:w="15" w:type="dxa"/>
                  </w:tcMar>
                  <w:vAlign w:val="bottom"/>
                </w:tcPr>
                <w:p w14:paraId="56A39848" w14:textId="2BD5AD7C" w:rsidR="000F5382" w:rsidRPr="000D69FC" w:rsidRDefault="000F5382" w:rsidP="000F5382">
                  <w:pPr>
                    <w:pStyle w:val="a7"/>
                    <w:ind w:left="0"/>
                    <w:contextualSpacing w:val="0"/>
                    <w:jc w:val="center"/>
                    <w:rPr>
                      <w:sz w:val="22"/>
                    </w:rPr>
                  </w:pPr>
                  <w:r w:rsidRPr="000D69FC">
                    <w:rPr>
                      <w:b/>
                      <w:sz w:val="22"/>
                    </w:rPr>
                    <w:t>FEBRUARIE 2023</w:t>
                  </w:r>
                </w:p>
              </w:tc>
            </w:tr>
            <w:tr w:rsidR="00A04230" w:rsidRPr="000D69FC" w14:paraId="22D3C7C9"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4DE57B80" w14:textId="01EC3F5D" w:rsidR="00A04230" w:rsidRPr="000D69FC" w:rsidRDefault="00A04230" w:rsidP="00A04230">
                  <w:pPr>
                    <w:pStyle w:val="a7"/>
                    <w:ind w:left="0"/>
                    <w:contextualSpacing w:val="0"/>
                    <w:jc w:val="both"/>
                    <w:rPr>
                      <w:sz w:val="22"/>
                    </w:rPr>
                  </w:pPr>
                  <w:r w:rsidRPr="000D69FC">
                    <w:rPr>
                      <w:sz w:val="22"/>
                    </w:rPr>
                    <w:t>OST către PRE (</w:t>
                  </w:r>
                  <w:proofErr w:type="spellStart"/>
                  <w:r w:rsidRPr="000D69FC">
                    <w:rPr>
                      <w:sz w:val="22"/>
                    </w:rPr>
                    <w:t>dez</w:t>
                  </w:r>
                  <w:proofErr w:type="spellEnd"/>
                  <w:r w:rsidRPr="000D69FC">
                    <w:rPr>
                      <w:sz w:val="22"/>
                    </w:rPr>
                    <w:t xml:space="preserve">. </w:t>
                  </w:r>
                  <w:proofErr w:type="spellStart"/>
                  <w:r w:rsidRPr="000D69FC">
                    <w:rPr>
                      <w:sz w:val="22"/>
                    </w:rPr>
                    <w:t>poz</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7BFBD1B" w14:textId="7E62AA95" w:rsidR="00A04230" w:rsidRPr="000D69FC" w:rsidRDefault="00A04230" w:rsidP="00A04230">
                  <w:pPr>
                    <w:pStyle w:val="a7"/>
                    <w:ind w:left="0"/>
                    <w:contextualSpacing w:val="0"/>
                    <w:jc w:val="center"/>
                    <w:rPr>
                      <w:sz w:val="22"/>
                    </w:rPr>
                  </w:pPr>
                  <w:r w:rsidRPr="000D69FC">
                    <w:rPr>
                      <w:sz w:val="22"/>
                    </w:rPr>
                    <w:t>5,376,769.85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1C6AC53" w14:textId="52EFD01F" w:rsidR="00A04230" w:rsidRPr="000D69FC" w:rsidRDefault="00E14FF1" w:rsidP="00E14FF1">
                  <w:pPr>
                    <w:pStyle w:val="a7"/>
                    <w:ind w:left="0"/>
                    <w:contextualSpacing w:val="0"/>
                    <w:jc w:val="center"/>
                    <w:rPr>
                      <w:sz w:val="22"/>
                    </w:rPr>
                  </w:pPr>
                  <w:r>
                    <w:rPr>
                      <w:sz w:val="22"/>
                    </w:rPr>
                    <w:t>22,152,074.80</w:t>
                  </w:r>
                </w:p>
              </w:tc>
              <w:tc>
                <w:tcPr>
                  <w:tcW w:w="1418" w:type="dxa"/>
                  <w:tcBorders>
                    <w:top w:val="single" w:sz="4" w:space="0" w:color="auto"/>
                    <w:left w:val="single" w:sz="4" w:space="0" w:color="auto"/>
                    <w:bottom w:val="single" w:sz="4" w:space="0" w:color="auto"/>
                  </w:tcBorders>
                  <w:shd w:val="clear" w:color="auto" w:fill="auto"/>
                </w:tcPr>
                <w:p w14:paraId="0DCD94D8" w14:textId="77777777" w:rsidR="00A04230" w:rsidRPr="000D69FC" w:rsidRDefault="00A04230" w:rsidP="00A04230">
                  <w:pPr>
                    <w:pStyle w:val="a7"/>
                    <w:ind w:left="0"/>
                    <w:contextualSpacing w:val="0"/>
                    <w:jc w:val="both"/>
                    <w:rPr>
                      <w:sz w:val="22"/>
                    </w:rPr>
                  </w:pPr>
                </w:p>
              </w:tc>
            </w:tr>
            <w:tr w:rsidR="00A04230" w:rsidRPr="000D69FC" w14:paraId="25DF16C1"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2F57C20D" w14:textId="5F477A7F" w:rsidR="00A04230" w:rsidRPr="000D69FC" w:rsidRDefault="00A04230" w:rsidP="00A04230">
                  <w:pPr>
                    <w:pStyle w:val="a7"/>
                    <w:ind w:left="0"/>
                    <w:contextualSpacing w:val="0"/>
                    <w:jc w:val="both"/>
                    <w:rPr>
                      <w:sz w:val="22"/>
                    </w:rPr>
                  </w:pPr>
                  <w:r w:rsidRPr="000D69FC">
                    <w:rPr>
                      <w:sz w:val="22"/>
                    </w:rPr>
                    <w:t>PRE către OST (</w:t>
                  </w:r>
                  <w:proofErr w:type="spellStart"/>
                  <w:r w:rsidRPr="000D69FC">
                    <w:rPr>
                      <w:sz w:val="22"/>
                    </w:rPr>
                    <w:t>dez</w:t>
                  </w:r>
                  <w:proofErr w:type="spellEnd"/>
                  <w:r w:rsidRPr="000D69FC">
                    <w:rPr>
                      <w:sz w:val="22"/>
                    </w:rPr>
                    <w:t>. neg.)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4BC4A62" w14:textId="2A371044" w:rsidR="00A04230" w:rsidRPr="000D69FC" w:rsidRDefault="00A04230" w:rsidP="00A04230">
                  <w:pPr>
                    <w:pStyle w:val="a7"/>
                    <w:ind w:left="0"/>
                    <w:contextualSpacing w:val="0"/>
                    <w:jc w:val="center"/>
                    <w:rPr>
                      <w:sz w:val="22"/>
                    </w:rPr>
                  </w:pPr>
                  <w:r w:rsidRPr="000D69FC">
                    <w:rPr>
                      <w:sz w:val="22"/>
                    </w:rPr>
                    <w:t>31,049,788.12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67E6D63" w14:textId="39933164" w:rsidR="00A04230" w:rsidRPr="000D69FC" w:rsidRDefault="00B56354" w:rsidP="00A04230">
                  <w:pPr>
                    <w:pStyle w:val="a7"/>
                    <w:ind w:left="0"/>
                    <w:contextualSpacing w:val="0"/>
                    <w:jc w:val="center"/>
                    <w:rPr>
                      <w:sz w:val="22"/>
                    </w:rPr>
                  </w:pPr>
                  <w:r>
                    <w:rPr>
                      <w:sz w:val="22"/>
                    </w:rPr>
                    <w:t>24,805,355.38</w:t>
                  </w:r>
                </w:p>
              </w:tc>
              <w:tc>
                <w:tcPr>
                  <w:tcW w:w="1418" w:type="dxa"/>
                  <w:tcBorders>
                    <w:top w:val="single" w:sz="4" w:space="0" w:color="auto"/>
                    <w:left w:val="single" w:sz="4" w:space="0" w:color="auto"/>
                    <w:bottom w:val="single" w:sz="4" w:space="0" w:color="auto"/>
                  </w:tcBorders>
                  <w:shd w:val="clear" w:color="auto" w:fill="auto"/>
                </w:tcPr>
                <w:p w14:paraId="4B375C5C" w14:textId="77777777" w:rsidR="00A04230" w:rsidRPr="000D69FC" w:rsidRDefault="00A04230" w:rsidP="00A04230">
                  <w:pPr>
                    <w:pStyle w:val="a7"/>
                    <w:ind w:left="0"/>
                    <w:contextualSpacing w:val="0"/>
                    <w:jc w:val="both"/>
                    <w:rPr>
                      <w:sz w:val="22"/>
                    </w:rPr>
                  </w:pPr>
                </w:p>
              </w:tc>
            </w:tr>
            <w:tr w:rsidR="00A04230" w:rsidRPr="000D69FC" w14:paraId="28C54BAD"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0FEC29DC" w14:textId="54333E51" w:rsidR="00A04230" w:rsidRPr="000D69FC" w:rsidRDefault="00A04230" w:rsidP="00A04230">
                  <w:pPr>
                    <w:pStyle w:val="a7"/>
                    <w:ind w:left="0"/>
                    <w:contextualSpacing w:val="0"/>
                    <w:jc w:val="both"/>
                    <w:rPr>
                      <w:sz w:val="22"/>
                    </w:rPr>
                  </w:pPr>
                  <w:proofErr w:type="spellStart"/>
                  <w:r w:rsidRPr="000D69FC">
                    <w:rPr>
                      <w:sz w:val="22"/>
                    </w:rPr>
                    <w:t>Rr</w:t>
                  </w:r>
                  <w:proofErr w:type="spellEnd"/>
                  <w:r w:rsidRPr="000D69FC">
                    <w:rPr>
                      <w:sz w:val="22"/>
                    </w:rPr>
                    <w:t xml:space="preserve"> (Venit OST de la </w:t>
                  </w:r>
                  <w:proofErr w:type="spellStart"/>
                  <w:r w:rsidRPr="000D69FC">
                    <w:rPr>
                      <w:sz w:val="22"/>
                    </w:rPr>
                    <w:t>ech</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20E9B8F" w14:textId="1D77B72E" w:rsidR="00A04230" w:rsidRPr="000D69FC" w:rsidRDefault="00A04230" w:rsidP="00A04230">
                  <w:pPr>
                    <w:pStyle w:val="a7"/>
                    <w:ind w:left="0"/>
                    <w:contextualSpacing w:val="0"/>
                    <w:jc w:val="center"/>
                    <w:rPr>
                      <w:sz w:val="22"/>
                    </w:rPr>
                  </w:pPr>
                  <w:r w:rsidRPr="000D69FC">
                    <w:rPr>
                      <w:sz w:val="22"/>
                    </w:rPr>
                    <w:t>22,112,058.10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572B775" w14:textId="77DBEB41" w:rsidR="00A04230" w:rsidRPr="000D69FC" w:rsidRDefault="00A04230" w:rsidP="00A04230">
                  <w:pPr>
                    <w:pStyle w:val="a7"/>
                    <w:ind w:left="0"/>
                    <w:contextualSpacing w:val="0"/>
                    <w:jc w:val="center"/>
                    <w:rPr>
                      <w:sz w:val="22"/>
                    </w:rPr>
                  </w:pPr>
                  <w:r w:rsidRPr="000D69FC">
                    <w:rPr>
                      <w:sz w:val="22"/>
                    </w:rPr>
                    <w:t>22,112,058.10</w:t>
                  </w:r>
                </w:p>
              </w:tc>
              <w:tc>
                <w:tcPr>
                  <w:tcW w:w="1418" w:type="dxa"/>
                  <w:tcBorders>
                    <w:top w:val="single" w:sz="4" w:space="0" w:color="auto"/>
                    <w:left w:val="single" w:sz="4" w:space="0" w:color="auto"/>
                    <w:bottom w:val="single" w:sz="4" w:space="0" w:color="auto"/>
                  </w:tcBorders>
                  <w:shd w:val="clear" w:color="auto" w:fill="auto"/>
                </w:tcPr>
                <w:p w14:paraId="0CF4DCBF" w14:textId="77777777" w:rsidR="00A04230" w:rsidRPr="000D69FC" w:rsidRDefault="00A04230" w:rsidP="00A04230">
                  <w:pPr>
                    <w:pStyle w:val="a7"/>
                    <w:ind w:left="0"/>
                    <w:contextualSpacing w:val="0"/>
                    <w:jc w:val="both"/>
                    <w:rPr>
                      <w:sz w:val="22"/>
                    </w:rPr>
                  </w:pPr>
                </w:p>
              </w:tc>
            </w:tr>
            <w:tr w:rsidR="00A04230" w:rsidRPr="000D69FC" w14:paraId="527248C8"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02B6BEED" w14:textId="4CEA94A6" w:rsidR="00A04230" w:rsidRPr="000D69FC" w:rsidRDefault="00A04230" w:rsidP="00A04230">
                  <w:pPr>
                    <w:pStyle w:val="a7"/>
                    <w:ind w:left="0"/>
                    <w:contextualSpacing w:val="0"/>
                    <w:jc w:val="both"/>
                    <w:rPr>
                      <w:sz w:val="22"/>
                    </w:rPr>
                  </w:pPr>
                  <w:proofErr w:type="spellStart"/>
                  <w:r w:rsidRPr="000D69FC">
                    <w:rPr>
                      <w:sz w:val="22"/>
                    </w:rPr>
                    <w:t>Rc</w:t>
                  </w:r>
                  <w:proofErr w:type="spellEnd"/>
                  <w:r w:rsidRPr="000D69FC">
                    <w:rPr>
                      <w:sz w:val="22"/>
                    </w:rPr>
                    <w:t xml:space="preserve"> (Cost OST de la </w:t>
                  </w:r>
                  <w:proofErr w:type="spellStart"/>
                  <w:r w:rsidRPr="000D69FC">
                    <w:rPr>
                      <w:sz w:val="22"/>
                    </w:rPr>
                    <w:t>ech</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7C746CA" w14:textId="14BB1536" w:rsidR="00A04230" w:rsidRPr="000D69FC" w:rsidRDefault="00A04230" w:rsidP="00A04230">
                  <w:pPr>
                    <w:pStyle w:val="a7"/>
                    <w:ind w:left="0"/>
                    <w:contextualSpacing w:val="0"/>
                    <w:jc w:val="center"/>
                    <w:rPr>
                      <w:sz w:val="22"/>
                    </w:rPr>
                  </w:pPr>
                  <w:r w:rsidRPr="000D69FC">
                    <w:rPr>
                      <w:sz w:val="22"/>
                    </w:rPr>
                    <w:t>15,936,181.53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2F3922B" w14:textId="4ADD17CC" w:rsidR="00A04230" w:rsidRPr="000D69FC" w:rsidRDefault="00A04230" w:rsidP="00A04230">
                  <w:pPr>
                    <w:pStyle w:val="a7"/>
                    <w:ind w:left="0"/>
                    <w:contextualSpacing w:val="0"/>
                    <w:jc w:val="center"/>
                    <w:rPr>
                      <w:sz w:val="22"/>
                    </w:rPr>
                  </w:pPr>
                  <w:r w:rsidRPr="000D69FC">
                    <w:rPr>
                      <w:sz w:val="22"/>
                    </w:rPr>
                    <w:t>15,936,181.53</w:t>
                  </w:r>
                </w:p>
              </w:tc>
              <w:tc>
                <w:tcPr>
                  <w:tcW w:w="1418" w:type="dxa"/>
                  <w:tcBorders>
                    <w:top w:val="single" w:sz="4" w:space="0" w:color="auto"/>
                    <w:left w:val="single" w:sz="4" w:space="0" w:color="auto"/>
                    <w:bottom w:val="single" w:sz="4" w:space="0" w:color="auto"/>
                  </w:tcBorders>
                  <w:shd w:val="clear" w:color="auto" w:fill="auto"/>
                </w:tcPr>
                <w:p w14:paraId="053B63DA" w14:textId="77777777" w:rsidR="00A04230" w:rsidRPr="000D69FC" w:rsidRDefault="00A04230" w:rsidP="00A04230">
                  <w:pPr>
                    <w:pStyle w:val="a7"/>
                    <w:ind w:left="0"/>
                    <w:contextualSpacing w:val="0"/>
                    <w:jc w:val="both"/>
                    <w:rPr>
                      <w:sz w:val="22"/>
                    </w:rPr>
                  </w:pPr>
                </w:p>
              </w:tc>
            </w:tr>
            <w:tr w:rsidR="00A04230" w:rsidRPr="000D69FC" w14:paraId="657E3A00"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5E557B5F" w14:textId="77777777" w:rsidR="00A04230" w:rsidRPr="000D69FC" w:rsidRDefault="00A04230" w:rsidP="00A04230">
                  <w:pPr>
                    <w:pStyle w:val="a7"/>
                    <w:ind w:left="0"/>
                    <w:contextualSpacing w:val="0"/>
                    <w:jc w:val="both"/>
                    <w:rPr>
                      <w:sz w:val="22"/>
                    </w:rPr>
                  </w:pPr>
                  <w:r w:rsidRPr="000D69FC">
                    <w:rPr>
                      <w:sz w:val="22"/>
                    </w:rPr>
                    <w:t xml:space="preserve">Cost/venit suplimentar înregistrat de OST (-) cost </w:t>
                  </w:r>
                </w:p>
                <w:p w14:paraId="57B6A450" w14:textId="106AC7E7" w:rsidR="00A04230" w:rsidRPr="000D69FC" w:rsidRDefault="00A04230" w:rsidP="00A04230">
                  <w:pPr>
                    <w:pStyle w:val="a7"/>
                    <w:ind w:left="0"/>
                    <w:contextualSpacing w:val="0"/>
                    <w:jc w:val="both"/>
                    <w:rPr>
                      <w:sz w:val="22"/>
                    </w:rPr>
                  </w:pPr>
                  <w:r w:rsidRPr="000D69FC">
                    <w:rPr>
                      <w:sz w:val="22"/>
                    </w:rPr>
                    <w:t>(+) venit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CA886D" w14:textId="6829869E" w:rsidR="00A04230" w:rsidRPr="000D69FC" w:rsidRDefault="00A04230" w:rsidP="00A04230">
                  <w:pPr>
                    <w:pStyle w:val="a7"/>
                    <w:ind w:left="0"/>
                    <w:contextualSpacing w:val="0"/>
                    <w:jc w:val="center"/>
                    <w:rPr>
                      <w:sz w:val="22"/>
                    </w:rPr>
                  </w:pPr>
                  <w:r w:rsidRPr="000D69FC">
                    <w:rPr>
                      <w:sz w:val="22"/>
                    </w:rPr>
                    <w:t>31,848,894.84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E07EA3" w14:textId="668E163E" w:rsidR="00A04230" w:rsidRPr="000D69FC" w:rsidRDefault="00E14FF1" w:rsidP="00E14FF1">
                  <w:pPr>
                    <w:pStyle w:val="a7"/>
                    <w:ind w:left="0"/>
                    <w:contextualSpacing w:val="0"/>
                    <w:jc w:val="center"/>
                    <w:rPr>
                      <w:sz w:val="22"/>
                    </w:rPr>
                  </w:pPr>
                  <w:r>
                    <w:rPr>
                      <w:sz w:val="22"/>
                    </w:rPr>
                    <w:t>8,829,157.15</w:t>
                  </w:r>
                </w:p>
              </w:tc>
              <w:tc>
                <w:tcPr>
                  <w:tcW w:w="1418" w:type="dxa"/>
                  <w:tcBorders>
                    <w:top w:val="single" w:sz="4" w:space="0" w:color="auto"/>
                    <w:left w:val="single" w:sz="4" w:space="0" w:color="auto"/>
                    <w:bottom w:val="single" w:sz="4" w:space="0" w:color="auto"/>
                  </w:tcBorders>
                  <w:shd w:val="clear" w:color="auto" w:fill="auto"/>
                  <w:vAlign w:val="center"/>
                </w:tcPr>
                <w:p w14:paraId="1767002B" w14:textId="60C1E9EE" w:rsidR="00A04230" w:rsidRPr="000D69FC" w:rsidRDefault="00B94B23" w:rsidP="00E14FF1">
                  <w:pPr>
                    <w:pStyle w:val="a7"/>
                    <w:ind w:left="0"/>
                    <w:contextualSpacing w:val="0"/>
                    <w:jc w:val="center"/>
                    <w:rPr>
                      <w:sz w:val="22"/>
                    </w:rPr>
                  </w:pPr>
                  <w:r w:rsidRPr="000D69FC">
                    <w:rPr>
                      <w:sz w:val="22"/>
                    </w:rPr>
                    <w:t>-</w:t>
                  </w:r>
                  <w:r w:rsidR="00E14FF1">
                    <w:rPr>
                      <w:sz w:val="22"/>
                    </w:rPr>
                    <w:t>72,3</w:t>
                  </w:r>
                </w:p>
              </w:tc>
            </w:tr>
            <w:tr w:rsidR="00A04230" w:rsidRPr="000D69FC" w14:paraId="3E34A44E" w14:textId="77777777" w:rsidTr="00B94B23">
              <w:tc>
                <w:tcPr>
                  <w:tcW w:w="8789" w:type="dxa"/>
                  <w:gridSpan w:val="4"/>
                  <w:shd w:val="clear" w:color="auto" w:fill="auto"/>
                  <w:tcMar>
                    <w:top w:w="15" w:type="dxa"/>
                    <w:left w:w="135" w:type="dxa"/>
                    <w:bottom w:w="0" w:type="dxa"/>
                    <w:right w:w="15" w:type="dxa"/>
                  </w:tcMar>
                  <w:vAlign w:val="bottom"/>
                </w:tcPr>
                <w:p w14:paraId="44319BD9" w14:textId="3D26EFF8" w:rsidR="00A04230" w:rsidRPr="000D69FC" w:rsidRDefault="00A04230" w:rsidP="00A04230">
                  <w:pPr>
                    <w:pStyle w:val="a7"/>
                    <w:ind w:left="0"/>
                    <w:contextualSpacing w:val="0"/>
                    <w:jc w:val="center"/>
                    <w:rPr>
                      <w:sz w:val="22"/>
                    </w:rPr>
                  </w:pPr>
                  <w:r w:rsidRPr="000D69FC">
                    <w:rPr>
                      <w:b/>
                      <w:sz w:val="22"/>
                    </w:rPr>
                    <w:t>MARTIE 2023</w:t>
                  </w:r>
                </w:p>
              </w:tc>
            </w:tr>
            <w:tr w:rsidR="00E66430" w:rsidRPr="000D69FC" w14:paraId="13C11275"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3215E4F4" w14:textId="5E6BA784" w:rsidR="00E66430" w:rsidRPr="000D69FC" w:rsidRDefault="00E66430" w:rsidP="00E66430">
                  <w:pPr>
                    <w:pStyle w:val="a7"/>
                    <w:ind w:left="0"/>
                    <w:contextualSpacing w:val="0"/>
                    <w:jc w:val="center"/>
                    <w:rPr>
                      <w:sz w:val="22"/>
                    </w:rPr>
                  </w:pPr>
                  <w:r w:rsidRPr="000D69FC">
                    <w:rPr>
                      <w:sz w:val="22"/>
                    </w:rPr>
                    <w:t>OST către PRE (</w:t>
                  </w:r>
                  <w:proofErr w:type="spellStart"/>
                  <w:r w:rsidRPr="000D69FC">
                    <w:rPr>
                      <w:sz w:val="22"/>
                    </w:rPr>
                    <w:t>dez</w:t>
                  </w:r>
                  <w:proofErr w:type="spellEnd"/>
                  <w:r w:rsidRPr="000D69FC">
                    <w:rPr>
                      <w:sz w:val="22"/>
                    </w:rPr>
                    <w:t xml:space="preserve">. </w:t>
                  </w:r>
                  <w:proofErr w:type="spellStart"/>
                  <w:r w:rsidRPr="000D69FC">
                    <w:rPr>
                      <w:sz w:val="22"/>
                    </w:rPr>
                    <w:t>poz</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CFD350B" w14:textId="534D8D77" w:rsidR="00E66430" w:rsidRPr="000D69FC" w:rsidRDefault="00E66430" w:rsidP="00E14FF1">
                  <w:pPr>
                    <w:pStyle w:val="a7"/>
                    <w:ind w:left="0"/>
                    <w:contextualSpacing w:val="0"/>
                    <w:jc w:val="center"/>
                    <w:rPr>
                      <w:sz w:val="22"/>
                    </w:rPr>
                  </w:pPr>
                  <w:r w:rsidRPr="000D69FC">
                    <w:rPr>
                      <w:sz w:val="22"/>
                    </w:rPr>
                    <w:t>6,</w:t>
                  </w:r>
                  <w:r w:rsidR="00E14FF1">
                    <w:rPr>
                      <w:sz w:val="22"/>
                    </w:rPr>
                    <w:t>249,521.97</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8E896A6" w14:textId="5B294C9B" w:rsidR="00E66430" w:rsidRPr="000D69FC" w:rsidRDefault="00702302" w:rsidP="00E66430">
                  <w:pPr>
                    <w:pStyle w:val="a7"/>
                    <w:ind w:left="0"/>
                    <w:contextualSpacing w:val="0"/>
                    <w:jc w:val="center"/>
                    <w:rPr>
                      <w:sz w:val="22"/>
                    </w:rPr>
                  </w:pPr>
                  <w:r>
                    <w:rPr>
                      <w:sz w:val="22"/>
                    </w:rPr>
                    <w:t>27,038,629.67</w:t>
                  </w:r>
                </w:p>
              </w:tc>
              <w:tc>
                <w:tcPr>
                  <w:tcW w:w="1418" w:type="dxa"/>
                  <w:tcBorders>
                    <w:top w:val="single" w:sz="4" w:space="0" w:color="auto"/>
                    <w:left w:val="single" w:sz="4" w:space="0" w:color="auto"/>
                    <w:bottom w:val="single" w:sz="4" w:space="0" w:color="auto"/>
                  </w:tcBorders>
                  <w:shd w:val="clear" w:color="auto" w:fill="auto"/>
                </w:tcPr>
                <w:p w14:paraId="3DE84C3A" w14:textId="77777777" w:rsidR="00E66430" w:rsidRPr="000D69FC" w:rsidRDefault="00E66430" w:rsidP="00E66430">
                  <w:pPr>
                    <w:pStyle w:val="a7"/>
                    <w:ind w:left="0"/>
                    <w:contextualSpacing w:val="0"/>
                    <w:jc w:val="both"/>
                    <w:rPr>
                      <w:sz w:val="22"/>
                    </w:rPr>
                  </w:pPr>
                </w:p>
              </w:tc>
            </w:tr>
            <w:tr w:rsidR="00E66430" w:rsidRPr="000D69FC" w14:paraId="162E0C87"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4E4EAF3D" w14:textId="63065E53" w:rsidR="00E66430" w:rsidRPr="000D69FC" w:rsidRDefault="00E66430" w:rsidP="00E66430">
                  <w:pPr>
                    <w:pStyle w:val="a7"/>
                    <w:ind w:left="0"/>
                    <w:contextualSpacing w:val="0"/>
                    <w:jc w:val="center"/>
                    <w:rPr>
                      <w:sz w:val="22"/>
                    </w:rPr>
                  </w:pPr>
                  <w:r w:rsidRPr="000D69FC">
                    <w:rPr>
                      <w:sz w:val="22"/>
                    </w:rPr>
                    <w:t>PRE către OST (</w:t>
                  </w:r>
                  <w:proofErr w:type="spellStart"/>
                  <w:r w:rsidRPr="000D69FC">
                    <w:rPr>
                      <w:sz w:val="22"/>
                    </w:rPr>
                    <w:t>dez</w:t>
                  </w:r>
                  <w:proofErr w:type="spellEnd"/>
                  <w:r w:rsidRPr="000D69FC">
                    <w:rPr>
                      <w:sz w:val="22"/>
                    </w:rPr>
                    <w:t>. neg.)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BA58995" w14:textId="6BBEDFDB" w:rsidR="00E66430" w:rsidRPr="000D69FC" w:rsidRDefault="00E66430" w:rsidP="00E66430">
                  <w:pPr>
                    <w:pStyle w:val="a7"/>
                    <w:ind w:left="0"/>
                    <w:contextualSpacing w:val="0"/>
                    <w:jc w:val="center"/>
                    <w:rPr>
                      <w:sz w:val="22"/>
                    </w:rPr>
                  </w:pPr>
                  <w:r w:rsidRPr="000D69FC">
                    <w:rPr>
                      <w:sz w:val="22"/>
                    </w:rPr>
                    <w:t>2</w:t>
                  </w:r>
                  <w:r w:rsidR="00E14FF1">
                    <w:rPr>
                      <w:sz w:val="22"/>
                    </w:rPr>
                    <w:t>7</w:t>
                  </w:r>
                  <w:r w:rsidRPr="000D69FC">
                    <w:rPr>
                      <w:sz w:val="22"/>
                    </w:rPr>
                    <w:t>,</w:t>
                  </w:r>
                  <w:r w:rsidR="00E14FF1">
                    <w:rPr>
                      <w:sz w:val="22"/>
                    </w:rPr>
                    <w:t>937</w:t>
                  </w:r>
                  <w:r w:rsidRPr="000D69FC">
                    <w:rPr>
                      <w:sz w:val="22"/>
                    </w:rPr>
                    <w:t>,</w:t>
                  </w:r>
                  <w:r w:rsidR="00E14FF1">
                    <w:rPr>
                      <w:sz w:val="22"/>
                    </w:rPr>
                    <w:t>187</w:t>
                  </w:r>
                  <w:r w:rsidRPr="000D69FC">
                    <w:rPr>
                      <w:sz w:val="22"/>
                    </w:rPr>
                    <w:t>.24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89BEB79" w14:textId="484EEF4F" w:rsidR="00E66430" w:rsidRPr="000D69FC" w:rsidRDefault="00702302" w:rsidP="00E66430">
                  <w:pPr>
                    <w:pStyle w:val="a7"/>
                    <w:ind w:left="0"/>
                    <w:contextualSpacing w:val="0"/>
                    <w:jc w:val="center"/>
                    <w:rPr>
                      <w:sz w:val="22"/>
                    </w:rPr>
                  </w:pPr>
                  <w:r>
                    <w:rPr>
                      <w:sz w:val="22"/>
                    </w:rPr>
                    <w:t>24,949,041,30</w:t>
                  </w:r>
                </w:p>
              </w:tc>
              <w:tc>
                <w:tcPr>
                  <w:tcW w:w="1418" w:type="dxa"/>
                  <w:tcBorders>
                    <w:top w:val="single" w:sz="4" w:space="0" w:color="auto"/>
                    <w:left w:val="single" w:sz="4" w:space="0" w:color="auto"/>
                    <w:bottom w:val="single" w:sz="4" w:space="0" w:color="auto"/>
                  </w:tcBorders>
                  <w:shd w:val="clear" w:color="auto" w:fill="auto"/>
                </w:tcPr>
                <w:p w14:paraId="70A572B2" w14:textId="77777777" w:rsidR="00E66430" w:rsidRPr="000D69FC" w:rsidRDefault="00E66430" w:rsidP="00E66430">
                  <w:pPr>
                    <w:pStyle w:val="a7"/>
                    <w:ind w:left="0"/>
                    <w:contextualSpacing w:val="0"/>
                    <w:jc w:val="both"/>
                    <w:rPr>
                      <w:sz w:val="22"/>
                    </w:rPr>
                  </w:pPr>
                </w:p>
              </w:tc>
            </w:tr>
            <w:tr w:rsidR="00E66430" w:rsidRPr="000D69FC" w14:paraId="41D53171"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443154C5" w14:textId="065D7B29" w:rsidR="00E66430" w:rsidRPr="000D69FC" w:rsidRDefault="00E66430" w:rsidP="00E66430">
                  <w:pPr>
                    <w:pStyle w:val="a7"/>
                    <w:ind w:left="0"/>
                    <w:contextualSpacing w:val="0"/>
                    <w:jc w:val="center"/>
                    <w:rPr>
                      <w:sz w:val="22"/>
                    </w:rPr>
                  </w:pPr>
                  <w:proofErr w:type="spellStart"/>
                  <w:r w:rsidRPr="000D69FC">
                    <w:rPr>
                      <w:sz w:val="22"/>
                    </w:rPr>
                    <w:t>Rr</w:t>
                  </w:r>
                  <w:proofErr w:type="spellEnd"/>
                  <w:r w:rsidRPr="000D69FC">
                    <w:rPr>
                      <w:sz w:val="22"/>
                    </w:rPr>
                    <w:t xml:space="preserve"> (Venit OST de la </w:t>
                  </w:r>
                  <w:proofErr w:type="spellStart"/>
                  <w:r w:rsidRPr="000D69FC">
                    <w:rPr>
                      <w:sz w:val="22"/>
                    </w:rPr>
                    <w:t>ech</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38DD372" w14:textId="407E6F08" w:rsidR="00E66430" w:rsidRPr="000D69FC" w:rsidRDefault="00E66430" w:rsidP="00E66430">
                  <w:pPr>
                    <w:pStyle w:val="a7"/>
                    <w:ind w:left="0"/>
                    <w:contextualSpacing w:val="0"/>
                    <w:jc w:val="center"/>
                    <w:rPr>
                      <w:sz w:val="22"/>
                    </w:rPr>
                  </w:pPr>
                  <w:r w:rsidRPr="000D69FC">
                    <w:rPr>
                      <w:sz w:val="22"/>
                    </w:rPr>
                    <w:t>29,600,918.28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2F599FF" w14:textId="37A90F03" w:rsidR="00E66430" w:rsidRPr="000D69FC" w:rsidRDefault="00E66430" w:rsidP="00E66430">
                  <w:pPr>
                    <w:pStyle w:val="a7"/>
                    <w:ind w:left="0"/>
                    <w:contextualSpacing w:val="0"/>
                    <w:jc w:val="center"/>
                    <w:rPr>
                      <w:sz w:val="22"/>
                    </w:rPr>
                  </w:pPr>
                  <w:r w:rsidRPr="000D69FC">
                    <w:rPr>
                      <w:sz w:val="22"/>
                    </w:rPr>
                    <w:t>29,600,918.28</w:t>
                  </w:r>
                </w:p>
              </w:tc>
              <w:tc>
                <w:tcPr>
                  <w:tcW w:w="1418" w:type="dxa"/>
                  <w:tcBorders>
                    <w:top w:val="single" w:sz="4" w:space="0" w:color="auto"/>
                    <w:left w:val="single" w:sz="4" w:space="0" w:color="auto"/>
                    <w:bottom w:val="single" w:sz="4" w:space="0" w:color="auto"/>
                  </w:tcBorders>
                  <w:shd w:val="clear" w:color="auto" w:fill="auto"/>
                </w:tcPr>
                <w:p w14:paraId="0321C6D3" w14:textId="77777777" w:rsidR="00E66430" w:rsidRPr="000D69FC" w:rsidRDefault="00E66430" w:rsidP="00E66430">
                  <w:pPr>
                    <w:pStyle w:val="a7"/>
                    <w:ind w:left="0"/>
                    <w:contextualSpacing w:val="0"/>
                    <w:jc w:val="both"/>
                    <w:rPr>
                      <w:sz w:val="22"/>
                    </w:rPr>
                  </w:pPr>
                </w:p>
              </w:tc>
            </w:tr>
            <w:tr w:rsidR="00E66430" w:rsidRPr="000D69FC" w14:paraId="1B376AC7"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2F6C2882" w14:textId="4B4A81AD" w:rsidR="00E66430" w:rsidRPr="000D69FC" w:rsidRDefault="00E66430" w:rsidP="00E66430">
                  <w:pPr>
                    <w:pStyle w:val="a7"/>
                    <w:ind w:left="0"/>
                    <w:contextualSpacing w:val="0"/>
                    <w:jc w:val="center"/>
                    <w:rPr>
                      <w:sz w:val="22"/>
                    </w:rPr>
                  </w:pPr>
                  <w:proofErr w:type="spellStart"/>
                  <w:r w:rsidRPr="000D69FC">
                    <w:rPr>
                      <w:sz w:val="22"/>
                    </w:rPr>
                    <w:t>Rc</w:t>
                  </w:r>
                  <w:proofErr w:type="spellEnd"/>
                  <w:r w:rsidRPr="000D69FC">
                    <w:rPr>
                      <w:sz w:val="22"/>
                    </w:rPr>
                    <w:t xml:space="preserve"> (Cost OST de la </w:t>
                  </w:r>
                  <w:proofErr w:type="spellStart"/>
                  <w:r w:rsidRPr="000D69FC">
                    <w:rPr>
                      <w:sz w:val="22"/>
                    </w:rPr>
                    <w:t>ech</w:t>
                  </w:r>
                  <w:proofErr w:type="spellEnd"/>
                  <w:r w:rsidRPr="000D69FC">
                    <w:rPr>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35AD366" w14:textId="53045FE2" w:rsidR="00E66430" w:rsidRPr="000D69FC" w:rsidRDefault="00E66430" w:rsidP="00E66430">
                  <w:pPr>
                    <w:pStyle w:val="a7"/>
                    <w:ind w:left="0"/>
                    <w:contextualSpacing w:val="0"/>
                    <w:jc w:val="center"/>
                    <w:rPr>
                      <w:sz w:val="22"/>
                    </w:rPr>
                  </w:pPr>
                  <w:r w:rsidRPr="000D69FC">
                    <w:rPr>
                      <w:sz w:val="22"/>
                    </w:rPr>
                    <w:t>13,258,765.16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E6CD788" w14:textId="6BB1C638" w:rsidR="00E66430" w:rsidRPr="000D69FC" w:rsidRDefault="00E66430" w:rsidP="00E66430">
                  <w:pPr>
                    <w:pStyle w:val="a7"/>
                    <w:ind w:left="0"/>
                    <w:contextualSpacing w:val="0"/>
                    <w:jc w:val="center"/>
                    <w:rPr>
                      <w:sz w:val="22"/>
                    </w:rPr>
                  </w:pPr>
                  <w:r w:rsidRPr="000D69FC">
                    <w:rPr>
                      <w:sz w:val="22"/>
                    </w:rPr>
                    <w:t>13,258,765.16</w:t>
                  </w:r>
                </w:p>
              </w:tc>
              <w:tc>
                <w:tcPr>
                  <w:tcW w:w="1418" w:type="dxa"/>
                  <w:tcBorders>
                    <w:top w:val="single" w:sz="4" w:space="0" w:color="auto"/>
                    <w:left w:val="single" w:sz="4" w:space="0" w:color="auto"/>
                    <w:bottom w:val="single" w:sz="4" w:space="0" w:color="auto"/>
                  </w:tcBorders>
                  <w:shd w:val="clear" w:color="auto" w:fill="auto"/>
                </w:tcPr>
                <w:p w14:paraId="20955054" w14:textId="77777777" w:rsidR="00E66430" w:rsidRPr="000D69FC" w:rsidRDefault="00E66430" w:rsidP="00E66430">
                  <w:pPr>
                    <w:pStyle w:val="a7"/>
                    <w:ind w:left="0"/>
                    <w:contextualSpacing w:val="0"/>
                    <w:jc w:val="both"/>
                    <w:rPr>
                      <w:sz w:val="22"/>
                    </w:rPr>
                  </w:pPr>
                </w:p>
              </w:tc>
            </w:tr>
            <w:tr w:rsidR="00E66430" w:rsidRPr="000D69FC" w14:paraId="216303FC" w14:textId="77777777" w:rsidTr="00B94B23">
              <w:tc>
                <w:tcPr>
                  <w:tcW w:w="3119" w:type="dxa"/>
                  <w:tcBorders>
                    <w:top w:val="single" w:sz="4" w:space="0" w:color="auto"/>
                    <w:bottom w:val="single" w:sz="4" w:space="0" w:color="auto"/>
                    <w:right w:val="single" w:sz="4" w:space="0" w:color="auto"/>
                  </w:tcBorders>
                  <w:shd w:val="clear" w:color="auto" w:fill="auto"/>
                  <w:tcMar>
                    <w:top w:w="15" w:type="dxa"/>
                    <w:left w:w="135" w:type="dxa"/>
                    <w:bottom w:w="0" w:type="dxa"/>
                    <w:right w:w="15" w:type="dxa"/>
                  </w:tcMar>
                  <w:vAlign w:val="bottom"/>
                </w:tcPr>
                <w:p w14:paraId="045DA304" w14:textId="77777777" w:rsidR="00E66430" w:rsidRPr="000D69FC" w:rsidRDefault="00E66430" w:rsidP="00E66430">
                  <w:pPr>
                    <w:pStyle w:val="a7"/>
                    <w:ind w:left="0"/>
                    <w:contextualSpacing w:val="0"/>
                    <w:jc w:val="center"/>
                    <w:rPr>
                      <w:sz w:val="22"/>
                    </w:rPr>
                  </w:pPr>
                  <w:r w:rsidRPr="000D69FC">
                    <w:rPr>
                      <w:sz w:val="22"/>
                    </w:rPr>
                    <w:t xml:space="preserve">Cost/venit suplimentar înregistrat de OST (-) cost </w:t>
                  </w:r>
                </w:p>
                <w:p w14:paraId="6FC4881B" w14:textId="174389C7" w:rsidR="00E66430" w:rsidRPr="000D69FC" w:rsidRDefault="00E66430" w:rsidP="00E66430">
                  <w:pPr>
                    <w:pStyle w:val="a7"/>
                    <w:ind w:left="0"/>
                    <w:contextualSpacing w:val="0"/>
                    <w:jc w:val="center"/>
                    <w:rPr>
                      <w:sz w:val="22"/>
                    </w:rPr>
                  </w:pPr>
                  <w:r w:rsidRPr="000D69FC">
                    <w:rPr>
                      <w:sz w:val="22"/>
                    </w:rPr>
                    <w:t>(+) venit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674E9" w14:textId="353831F7" w:rsidR="00E66430" w:rsidRPr="000D69FC" w:rsidRDefault="00E66430" w:rsidP="00E66430">
                  <w:pPr>
                    <w:pStyle w:val="a7"/>
                    <w:ind w:left="0"/>
                    <w:contextualSpacing w:val="0"/>
                    <w:jc w:val="center"/>
                    <w:rPr>
                      <w:sz w:val="22"/>
                    </w:rPr>
                  </w:pPr>
                  <w:r w:rsidRPr="000D69FC">
                    <w:rPr>
                      <w:sz w:val="22"/>
                    </w:rPr>
                    <w:t>38,029,818.38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DFE749" w14:textId="0CCD28BE" w:rsidR="00E66430" w:rsidRPr="000D69FC" w:rsidRDefault="00702302" w:rsidP="00E66430">
                  <w:pPr>
                    <w:pStyle w:val="a7"/>
                    <w:ind w:left="0"/>
                    <w:contextualSpacing w:val="0"/>
                    <w:jc w:val="center"/>
                    <w:rPr>
                      <w:sz w:val="22"/>
                    </w:rPr>
                  </w:pPr>
                  <w:r>
                    <w:rPr>
                      <w:sz w:val="22"/>
                    </w:rPr>
                    <w:t>14,252,564.74</w:t>
                  </w:r>
                </w:p>
              </w:tc>
              <w:tc>
                <w:tcPr>
                  <w:tcW w:w="1418" w:type="dxa"/>
                  <w:tcBorders>
                    <w:top w:val="single" w:sz="4" w:space="0" w:color="auto"/>
                    <w:left w:val="single" w:sz="4" w:space="0" w:color="auto"/>
                    <w:bottom w:val="single" w:sz="4" w:space="0" w:color="auto"/>
                  </w:tcBorders>
                  <w:shd w:val="clear" w:color="auto" w:fill="auto"/>
                  <w:vAlign w:val="center"/>
                </w:tcPr>
                <w:p w14:paraId="2DB8B0CA" w14:textId="543EFE10" w:rsidR="00E66430" w:rsidRPr="000D69FC" w:rsidRDefault="00B94B23" w:rsidP="00702302">
                  <w:pPr>
                    <w:pStyle w:val="a7"/>
                    <w:ind w:left="0"/>
                    <w:contextualSpacing w:val="0"/>
                    <w:jc w:val="center"/>
                    <w:rPr>
                      <w:sz w:val="22"/>
                    </w:rPr>
                  </w:pPr>
                  <w:r w:rsidRPr="000D69FC">
                    <w:rPr>
                      <w:sz w:val="22"/>
                    </w:rPr>
                    <w:t>-</w:t>
                  </w:r>
                  <w:r w:rsidR="00702302">
                    <w:rPr>
                      <w:sz w:val="22"/>
                    </w:rPr>
                    <w:t>62</w:t>
                  </w:r>
                  <w:r w:rsidRPr="000D69FC">
                    <w:rPr>
                      <w:sz w:val="22"/>
                    </w:rPr>
                    <w:t>,</w:t>
                  </w:r>
                  <w:r w:rsidR="00702302">
                    <w:rPr>
                      <w:sz w:val="22"/>
                    </w:rPr>
                    <w:t>5</w:t>
                  </w:r>
                </w:p>
              </w:tc>
            </w:tr>
          </w:tbl>
          <w:p w14:paraId="04CCD4E4" w14:textId="26D99F88" w:rsidR="00621084" w:rsidRPr="000D69FC" w:rsidRDefault="000D69FC" w:rsidP="00621084">
            <w:pPr>
              <w:pStyle w:val="a7"/>
              <w:ind w:left="21" w:firstLine="426"/>
              <w:jc w:val="both"/>
            </w:pPr>
            <w:r w:rsidRPr="000D69FC">
              <w:t xml:space="preserve">Rezultatele obținute denotă cu fermitate că aplicarea modificărilor propuse </w:t>
            </w:r>
            <w:r w:rsidR="00A56938">
              <w:t xml:space="preserve">la </w:t>
            </w:r>
            <w:r w:rsidRPr="000D69FC">
              <w:t xml:space="preserve"> mecanismul de determinare a prețurilor pentru dezechilibre și decontarea acestora, urmează să reducă considerabil valoarea </w:t>
            </w:r>
            <w:r>
              <w:t>fondului suplimentar acumul</w:t>
            </w:r>
            <w:r w:rsidRPr="000D69FC">
              <w:t xml:space="preserve">at de OST în procesul de echilibrare al sistemului electroenergetic. </w:t>
            </w:r>
          </w:p>
          <w:p w14:paraId="3D38266E" w14:textId="2F963ACB" w:rsidR="00EA4189" w:rsidRPr="000D69FC" w:rsidRDefault="00EA4189" w:rsidP="006D1AF2">
            <w:pPr>
              <w:pStyle w:val="a7"/>
              <w:ind w:left="21" w:firstLine="426"/>
              <w:jc w:val="both"/>
            </w:pPr>
            <w:r w:rsidRPr="000D69FC">
              <w:t>Implementarea măsurilor propuse în proiectul de modificare al RPEE va avea impact asupra următoarelor aspect</w:t>
            </w:r>
            <w:r w:rsidR="008F0A22" w:rsidRPr="000D69FC">
              <w:t>e</w:t>
            </w:r>
            <w:r w:rsidRPr="000D69FC">
              <w:t xml:space="preserve">: </w:t>
            </w:r>
          </w:p>
          <w:p w14:paraId="2BA93BF0" w14:textId="7B96622F" w:rsidR="00563804" w:rsidRPr="000D69FC" w:rsidRDefault="00EA4189" w:rsidP="00703BF4">
            <w:pPr>
              <w:pStyle w:val="a7"/>
              <w:numPr>
                <w:ilvl w:val="0"/>
                <w:numId w:val="35"/>
              </w:numPr>
              <w:spacing w:before="120"/>
              <w:ind w:left="1162" w:hanging="357"/>
              <w:contextualSpacing w:val="0"/>
              <w:jc w:val="both"/>
              <w:rPr>
                <w:b/>
              </w:rPr>
            </w:pPr>
            <w:r w:rsidRPr="000D69FC">
              <w:rPr>
                <w:b/>
              </w:rPr>
              <w:t>Costurile desfășurării afacerilor</w:t>
            </w:r>
          </w:p>
          <w:p w14:paraId="36B2B04D" w14:textId="3435F8D9" w:rsidR="00B14B9E" w:rsidRPr="000D69FC" w:rsidRDefault="001E54A4" w:rsidP="00EA4189">
            <w:pPr>
              <w:pStyle w:val="a7"/>
              <w:ind w:left="19" w:firstLine="568"/>
              <w:jc w:val="both"/>
            </w:pPr>
            <w:r w:rsidRPr="000D69FC">
              <w:t xml:space="preserve">Considerând că proiectul de modificare a RPEE vine să ajusteze modul de decontare al dezechilibrelor, în scopul reducerii costurilor unitare pentru energia </w:t>
            </w:r>
            <w:r w:rsidR="00A56938">
              <w:t xml:space="preserve">electrică </w:t>
            </w:r>
            <w:r w:rsidRPr="000D69FC">
              <w:t xml:space="preserve">de dezechilibru negativ și creșterii costurilor unitare pentru energie electrică pentru excedent, este evident că PRE-urile, inclusiv producătorii de energie electrică vor avea de beneficiat, prin reducerea cheltuielilor pentru dezechilibrele negative achitate către OST, precum și vor înregistra venituri mai mari, considerând că prețul pentru energia electrică excedentară urmează să crească în comparație cu scenariul de bază. </w:t>
            </w:r>
            <w:r w:rsidR="00B14B9E" w:rsidRPr="000D69FC">
              <w:t xml:space="preserve">Concomitent, propunerea de modificare a mecanismului de repartizare a costurilor/veniturilor suplimentare înregistrate de OST către toate PRE-urile pe piață, va duce la aplicarea unei mecanism echitabil, ceea ce în final va condiționa costuri mai mici pentru participanții la piață. </w:t>
            </w:r>
          </w:p>
          <w:p w14:paraId="7BFF9164" w14:textId="7D91BFAB" w:rsidR="00EA4189" w:rsidRPr="000D69FC" w:rsidRDefault="001E54A4" w:rsidP="00EA4189">
            <w:pPr>
              <w:pStyle w:val="a7"/>
              <w:ind w:left="19" w:firstLine="568"/>
              <w:jc w:val="both"/>
            </w:pPr>
            <w:r w:rsidRPr="000D69FC">
              <w:t xml:space="preserve">Astfel, costurile desfășurării afacerilor urmează să se reducă pentru toți </w:t>
            </w:r>
            <w:r w:rsidR="00A56938">
              <w:t xml:space="preserve">participanții </w:t>
            </w:r>
            <w:r w:rsidR="00563804" w:rsidRPr="000D69FC">
              <w:t xml:space="preserve"> pi</w:t>
            </w:r>
            <w:r w:rsidR="00A56938">
              <w:t>e</w:t>
            </w:r>
            <w:r w:rsidR="00563804" w:rsidRPr="000D69FC">
              <w:t>ț</w:t>
            </w:r>
            <w:r w:rsidR="00A56938">
              <w:t>ei</w:t>
            </w:r>
            <w:r w:rsidR="00563804" w:rsidRPr="000D69FC">
              <w:t xml:space="preserve"> energie electrică</w:t>
            </w:r>
            <w:r w:rsidR="00B14B9E" w:rsidRPr="000D69FC">
              <w:t>.</w:t>
            </w:r>
          </w:p>
          <w:p w14:paraId="7DB36A0F" w14:textId="312E611A" w:rsidR="00D02D85" w:rsidRPr="000D69FC" w:rsidRDefault="00B14B9E" w:rsidP="00703BF4">
            <w:pPr>
              <w:pStyle w:val="a7"/>
              <w:numPr>
                <w:ilvl w:val="0"/>
                <w:numId w:val="35"/>
              </w:numPr>
              <w:spacing w:before="120"/>
              <w:ind w:left="1162" w:hanging="357"/>
              <w:contextualSpacing w:val="0"/>
              <w:jc w:val="both"/>
              <w:rPr>
                <w:b/>
              </w:rPr>
            </w:pPr>
            <w:r w:rsidRPr="000D69FC">
              <w:rPr>
                <w:b/>
              </w:rPr>
              <w:lastRenderedPageBreak/>
              <w:t>Competitivitatea afacerilor</w:t>
            </w:r>
          </w:p>
          <w:p w14:paraId="1010CBCD" w14:textId="77777777" w:rsidR="00141420" w:rsidRPr="000D69FC" w:rsidRDefault="00C200E8" w:rsidP="00141420">
            <w:pPr>
              <w:ind w:firstLine="587"/>
              <w:jc w:val="both"/>
            </w:pPr>
            <w:r w:rsidRPr="000D69FC">
              <w:t xml:space="preserve">În rezultatul modificărilor propuse cu siguranță vor fi create premise de creștere a competitivității afacerilor în segmentul național și anume: </w:t>
            </w:r>
          </w:p>
          <w:p w14:paraId="77BA1F72" w14:textId="1D44A61B" w:rsidR="00C200E8" w:rsidRPr="000D69FC" w:rsidRDefault="005F2CDD" w:rsidP="00C200E8">
            <w:pPr>
              <w:pStyle w:val="a7"/>
              <w:numPr>
                <w:ilvl w:val="0"/>
                <w:numId w:val="36"/>
              </w:numPr>
              <w:jc w:val="both"/>
            </w:pPr>
            <w:r w:rsidRPr="000D69FC">
              <w:t xml:space="preserve">Aplicarea unor prețuri pentru dezechilibre ajustate după modelul propus va duce la reducerea cheltuielilor pentru dezechilibrele negative și la creșterea veniturilor pentru energia în excedent. În acest fel toate PRE-urile (producători, operatori de sistem și furnizori) vor avea de beneficiat. În particular producătorii naționali de energie electrică (mai ales cei care utilizează energie din surse regenerabile de energie) vor putea tranzacționa la prețuri mai mici energia produsă, considerând reducerea riscurilor legate cu cheltuielile cu energia electrică de dezechilibru, devenind mai competitivi </w:t>
            </w:r>
            <w:r w:rsidR="00616CFA" w:rsidRPr="000D69FC">
              <w:t>față de</w:t>
            </w:r>
            <w:r w:rsidRPr="000D69FC">
              <w:t xml:space="preserve"> energie electrică din import. </w:t>
            </w:r>
          </w:p>
          <w:p w14:paraId="16C69CA9" w14:textId="20F3A0B3" w:rsidR="00C566A9" w:rsidRPr="000D69FC" w:rsidRDefault="00C566A9" w:rsidP="00C200E8">
            <w:pPr>
              <w:pStyle w:val="a7"/>
              <w:numPr>
                <w:ilvl w:val="0"/>
                <w:numId w:val="36"/>
              </w:numPr>
              <w:jc w:val="both"/>
            </w:pPr>
            <w:r w:rsidRPr="000D69FC">
              <w:t>Repartizarea echitabilă a costurilor/veniturilor înregistrate de OST în procesul de echilibrare și anume către toate PRE-urile, va duce în cazul costurilor potențiale la suportarea acestora de către toți participanții pi</w:t>
            </w:r>
            <w:r w:rsidR="004B23AF">
              <w:t>e</w:t>
            </w:r>
            <w:r w:rsidRPr="000D69FC">
              <w:t>ț</w:t>
            </w:r>
            <w:r w:rsidR="004B23AF">
              <w:t>ei</w:t>
            </w:r>
            <w:r w:rsidRPr="000D69FC">
              <w:t xml:space="preserve">, iar în cazul veniturilor (caz înregistrat considerabil mai frecvent) la reducerea costurilor tuturor PRE-urilor. Acest fapt va contribui la creșterea competitivității afacerilor din sectorul electroenergetic. </w:t>
            </w:r>
          </w:p>
          <w:p w14:paraId="67B8CBC0" w14:textId="3BFC42FF" w:rsidR="00D02D85" w:rsidRPr="000D69FC" w:rsidRDefault="00703BF4" w:rsidP="00703BF4">
            <w:pPr>
              <w:pStyle w:val="a7"/>
              <w:numPr>
                <w:ilvl w:val="0"/>
                <w:numId w:val="40"/>
              </w:numPr>
              <w:spacing w:before="120"/>
              <w:ind w:left="1162" w:hanging="357"/>
              <w:contextualSpacing w:val="0"/>
              <w:jc w:val="both"/>
              <w:rPr>
                <w:b/>
              </w:rPr>
            </w:pPr>
            <w:r w:rsidRPr="000D69FC">
              <w:rPr>
                <w:b/>
              </w:rPr>
              <w:t>Concurența pe piață</w:t>
            </w:r>
          </w:p>
          <w:p w14:paraId="0F30CDA0" w14:textId="3476938F" w:rsidR="00CD463C" w:rsidRPr="000D69FC" w:rsidRDefault="004732F6" w:rsidP="00CD463C">
            <w:pPr>
              <w:pStyle w:val="a7"/>
              <w:spacing w:before="120"/>
              <w:ind w:left="1162"/>
              <w:contextualSpacing w:val="0"/>
              <w:jc w:val="both"/>
            </w:pPr>
            <w:r w:rsidRPr="000D69FC">
              <w:t>Reducerea costurilor legate de responsabilitatea</w:t>
            </w:r>
            <w:r w:rsidR="00891178">
              <w:t xml:space="preserve"> financiară</w:t>
            </w:r>
            <w:r w:rsidRPr="000D69FC">
              <w:t xml:space="preserve"> pentru dezechilibrele create</w:t>
            </w:r>
            <w:r w:rsidR="004B23AF">
              <w:t xml:space="preserve"> în rețeaua electrică</w:t>
            </w:r>
            <w:r w:rsidRPr="000D69FC">
              <w:t>, repartizarea echitabilă a costurilor/veniturilor înregistrate de OST în procesul de echilibrar</w:t>
            </w:r>
            <w:r w:rsidR="00891178">
              <w:t>e</w:t>
            </w:r>
            <w:r w:rsidRPr="000D69FC">
              <w:t xml:space="preserve"> vor duce la reducerea costurilor finale, apariția noilor participanți a</w:t>
            </w:r>
            <w:r w:rsidR="004B23AF">
              <w:t>i</w:t>
            </w:r>
            <w:r w:rsidRPr="000D69FC">
              <w:t xml:space="preserve"> pi</w:t>
            </w:r>
            <w:r w:rsidR="004B23AF">
              <w:t>e</w:t>
            </w:r>
            <w:r w:rsidRPr="000D69FC">
              <w:t>ț</w:t>
            </w:r>
            <w:r w:rsidR="004B23AF">
              <w:t>ei</w:t>
            </w:r>
            <w:r w:rsidRPr="000D69FC">
              <w:t xml:space="preserve"> (ca rezultat al creșterii atractivității sectorului </w:t>
            </w:r>
            <w:r w:rsidR="004B23AF">
              <w:t>electro</w:t>
            </w:r>
            <w:r w:rsidRPr="000D69FC">
              <w:t>energe</w:t>
            </w:r>
            <w:r w:rsidR="004B23AF">
              <w:t>t</w:t>
            </w:r>
            <w:r w:rsidRPr="000D69FC">
              <w:t>i</w:t>
            </w:r>
            <w:r w:rsidR="004B23AF">
              <w:t>c</w:t>
            </w:r>
            <w:r w:rsidRPr="000D69FC">
              <w:t>) și respectiv la creșterea concurenței pe piața energie</w:t>
            </w:r>
            <w:r w:rsidR="004B23AF">
              <w:t>i</w:t>
            </w:r>
            <w:r w:rsidRPr="000D69FC">
              <w:t xml:space="preserve"> electric</w:t>
            </w:r>
            <w:r w:rsidR="004B23AF">
              <w:t>e</w:t>
            </w:r>
            <w:r w:rsidR="003F3296" w:rsidRPr="000D69FC">
              <w:t xml:space="preserve"> între participanții la aceast</w:t>
            </w:r>
            <w:r w:rsidR="004B23AF">
              <w:t>ă pi</w:t>
            </w:r>
            <w:r w:rsidR="003F3296" w:rsidRPr="000D69FC">
              <w:t>a</w:t>
            </w:r>
            <w:r w:rsidR="004B23AF">
              <w:t>ță</w:t>
            </w:r>
            <w:r w:rsidRPr="000D69FC">
              <w:t xml:space="preserve">.  </w:t>
            </w:r>
          </w:p>
          <w:p w14:paraId="6A245E81" w14:textId="6274B31F" w:rsidR="00D02175" w:rsidRPr="000D69FC" w:rsidRDefault="002E0580" w:rsidP="00CD463C">
            <w:pPr>
              <w:pStyle w:val="a7"/>
              <w:spacing w:before="120"/>
              <w:ind w:left="1162"/>
              <w:contextualSpacing w:val="0"/>
              <w:jc w:val="both"/>
            </w:pPr>
            <w:r w:rsidRPr="000D69FC">
              <w:t xml:space="preserve">Concomitent, </w:t>
            </w:r>
            <w:r w:rsidR="00193C6B" w:rsidRPr="000D69FC">
              <w:t>reducerea costului final pentru energia electrică furnizată atât la prețuri reglementate cât și nereglementate va duce la un cost final mai mic al produselor/serviciilor agenților economici naționali</w:t>
            </w:r>
            <w:r w:rsidR="00CA66C6" w:rsidRPr="000D69FC">
              <w:t xml:space="preserve">, și respectiv va contribui la creșterea concurenței pe piața bunurilor și serviciilor atât la nivel  național, cât și internațional. </w:t>
            </w:r>
          </w:p>
          <w:p w14:paraId="08A5B199" w14:textId="01B8CC2A" w:rsidR="00CD463C" w:rsidRPr="000D69FC" w:rsidRDefault="00CD463C" w:rsidP="00CD463C">
            <w:pPr>
              <w:pStyle w:val="a7"/>
              <w:numPr>
                <w:ilvl w:val="0"/>
                <w:numId w:val="40"/>
              </w:numPr>
              <w:spacing w:before="120"/>
              <w:contextualSpacing w:val="0"/>
              <w:jc w:val="both"/>
              <w:rPr>
                <w:b/>
              </w:rPr>
            </w:pPr>
            <w:r w:rsidRPr="000D69FC">
              <w:rPr>
                <w:b/>
              </w:rPr>
              <w:t>Alegerea, calitatea și prețurile pentru consumatori</w:t>
            </w:r>
          </w:p>
          <w:p w14:paraId="2DEBF395" w14:textId="6816C27B" w:rsidR="004718DC" w:rsidRPr="000D69FC" w:rsidRDefault="004718DC" w:rsidP="00BF1911">
            <w:pPr>
              <w:pStyle w:val="a7"/>
              <w:spacing w:before="120"/>
              <w:ind w:left="1167"/>
              <w:contextualSpacing w:val="0"/>
              <w:jc w:val="both"/>
            </w:pPr>
            <w:r w:rsidRPr="000D69FC">
              <w:t xml:space="preserve">Important de menționat aici că toate modificările propuse </w:t>
            </w:r>
            <w:r w:rsidR="004B23AF">
              <w:t xml:space="preserve">la </w:t>
            </w:r>
            <w:r w:rsidRPr="000D69FC">
              <w:t>RPEE care au fost descrise mai sus, în final reprezintă un efort de diminuare a costurilor suportate de PRE-urile care activează pe piața energie</w:t>
            </w:r>
            <w:r w:rsidR="004B23AF">
              <w:t>i</w:t>
            </w:r>
            <w:r w:rsidRPr="000D69FC">
              <w:t xml:space="preserve"> electric</w:t>
            </w:r>
            <w:r w:rsidR="004B23AF">
              <w:t>e</w:t>
            </w:r>
            <w:r w:rsidRPr="000D69FC">
              <w:t>, și de distribuție echitabilă a acestora. Astfel, ținând cont că costurile cu energia electrică (inclusiv de dezechilibru) achiziționată de operatorii de sistem și de furnizorii la prețuri reglementate</w:t>
            </w:r>
            <w:r w:rsidR="004B23AF">
              <w:t xml:space="preserve"> sunt luate în </w:t>
            </w:r>
            <w:r w:rsidRPr="000D69FC">
              <w:t>considera</w:t>
            </w:r>
            <w:r w:rsidR="004B23AF">
              <w:t>re</w:t>
            </w:r>
            <w:r w:rsidRPr="000D69FC">
              <w:t xml:space="preserve"> la aprobarea tarifelor și prețurilor reglementate </w:t>
            </w:r>
            <w:r w:rsidR="004B23AF">
              <w:t xml:space="preserve">pentru </w:t>
            </w:r>
            <w:r w:rsidRPr="000D69FC">
              <w:t xml:space="preserve"> furnizare</w:t>
            </w:r>
            <w:r w:rsidR="004B23AF">
              <w:t>a energiei electrice</w:t>
            </w:r>
            <w:r w:rsidRPr="000D69FC">
              <w:t xml:space="preserve">, rezultă că reducerea costurilor respective va condiționa și reducerea prețurilor pentru energia electrică furnizată către consumatorii finali. </w:t>
            </w:r>
          </w:p>
          <w:p w14:paraId="5BF37701" w14:textId="39DBFA7E" w:rsidR="007E4726" w:rsidRPr="000D69FC" w:rsidRDefault="007E4726" w:rsidP="007E4726">
            <w:pPr>
              <w:pStyle w:val="a7"/>
              <w:numPr>
                <w:ilvl w:val="0"/>
                <w:numId w:val="40"/>
              </w:numPr>
              <w:spacing w:before="120"/>
              <w:contextualSpacing w:val="0"/>
              <w:jc w:val="both"/>
              <w:rPr>
                <w:b/>
              </w:rPr>
            </w:pPr>
            <w:r w:rsidRPr="000D69FC">
              <w:rPr>
                <w:b/>
              </w:rPr>
              <w:t>Bunăstarea gospodăriilor casnice și a cetățenilor</w:t>
            </w:r>
          </w:p>
          <w:p w14:paraId="67459D85" w14:textId="5054AC4B" w:rsidR="007E4726" w:rsidRPr="000D69FC" w:rsidRDefault="00E91FC9" w:rsidP="00BF1911">
            <w:pPr>
              <w:pStyle w:val="a7"/>
              <w:spacing w:before="120"/>
              <w:ind w:left="1167"/>
              <w:contextualSpacing w:val="0"/>
              <w:jc w:val="both"/>
            </w:pPr>
            <w:r w:rsidRPr="000D69FC">
              <w:t>Cheltuielile</w:t>
            </w:r>
            <w:r w:rsidR="00616CFA" w:rsidRPr="000D69FC">
              <w:t xml:space="preserve"> actuale ale</w:t>
            </w:r>
            <w:r w:rsidRPr="000D69FC">
              <w:t xml:space="preserve"> gospodăriilor casnice și a cetățenilor </w:t>
            </w:r>
            <w:r w:rsidR="00D02175" w:rsidRPr="000D69FC">
              <w:t>pentru</w:t>
            </w:r>
            <w:r w:rsidRPr="000D69FC">
              <w:t xml:space="preserve"> asigurarea cu energie și resurse energetice</w:t>
            </w:r>
            <w:r w:rsidR="00D02175" w:rsidRPr="000D69FC">
              <w:t xml:space="preserve"> </w:t>
            </w:r>
            <w:r w:rsidR="00616CFA" w:rsidRPr="000D69FC">
              <w:t>reprezintă</w:t>
            </w:r>
            <w:r w:rsidR="00D02175" w:rsidRPr="000D69FC">
              <w:t xml:space="preserve"> o parte</w:t>
            </w:r>
            <w:r w:rsidR="00616CFA" w:rsidRPr="000D69FC">
              <w:t xml:space="preserve"> considerabilă</w:t>
            </w:r>
            <w:r w:rsidR="00D02175" w:rsidRPr="000D69FC">
              <w:t xml:space="preserve"> din veniturilor </w:t>
            </w:r>
            <w:r w:rsidR="00774292" w:rsidRPr="000D69FC">
              <w:t>acestora</w:t>
            </w:r>
            <w:r w:rsidR="00D02175" w:rsidRPr="000D69FC">
              <w:t xml:space="preserve">, mai ales în contextul unei creșteri galopante </w:t>
            </w:r>
            <w:r w:rsidR="000018A2">
              <w:t>a prețurilor aferente</w:t>
            </w:r>
            <w:r w:rsidR="00D02175" w:rsidRPr="000D69FC">
              <w:t xml:space="preserve"> resursel</w:t>
            </w:r>
            <w:r w:rsidR="000018A2">
              <w:t>or</w:t>
            </w:r>
            <w:r w:rsidR="00D02175" w:rsidRPr="000D69FC">
              <w:t xml:space="preserve"> energetice la nivel internațional. Astfel, modificările propuse </w:t>
            </w:r>
            <w:r w:rsidR="004B23AF">
              <w:t xml:space="preserve">la </w:t>
            </w:r>
            <w:r w:rsidR="00D02175" w:rsidRPr="000D69FC">
              <w:t>RPEE vor avea un impact eventual asupra prețului energiei electrice furniz</w:t>
            </w:r>
            <w:r w:rsidR="00774292" w:rsidRPr="000D69FC">
              <w:t xml:space="preserve">are consumatorilor </w:t>
            </w:r>
            <w:r w:rsidR="004B23AF">
              <w:t xml:space="preserve">finali </w:t>
            </w:r>
            <w:r w:rsidR="00774292" w:rsidRPr="000D69FC">
              <w:t xml:space="preserve">(inclusiv a </w:t>
            </w:r>
            <w:r w:rsidR="00D02175" w:rsidRPr="000D69FC">
              <w:t xml:space="preserve">celor casnici), și respectiv asupra creșterii bunăstării acestora, în contextul economiilor care pot fi obținute dintr-un preț mai mic pentru energia electrică achitată de cetățeni. </w:t>
            </w:r>
            <w:r w:rsidRPr="000D69FC">
              <w:t xml:space="preserve">   </w:t>
            </w:r>
          </w:p>
          <w:p w14:paraId="31DC3972" w14:textId="489F5D98" w:rsidR="00CD463C" w:rsidRPr="00C54EF0" w:rsidRDefault="004718DC" w:rsidP="00C862EE">
            <w:pPr>
              <w:pStyle w:val="a7"/>
              <w:spacing w:before="120"/>
              <w:ind w:left="1167"/>
              <w:contextualSpacing w:val="0"/>
              <w:jc w:val="both"/>
            </w:pPr>
            <w:r w:rsidRPr="000D69FC">
              <w:t xml:space="preserve"> </w:t>
            </w:r>
          </w:p>
        </w:tc>
      </w:tr>
      <w:tr w:rsidR="00FB609F" w:rsidRPr="009D4714" w14:paraId="2CD7B1D0"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81AF28C" w14:textId="77777777" w:rsidR="00FB609F" w:rsidRPr="009D4714" w:rsidRDefault="00F62480" w:rsidP="00176397">
            <w:r w:rsidRPr="009D4714">
              <w:rPr>
                <w:b/>
                <w:i/>
              </w:rPr>
              <w:lastRenderedPageBreak/>
              <w:t>b2) Pentru op</w:t>
            </w:r>
            <w:r w:rsidR="00176397" w:rsidRPr="009D4714">
              <w:rPr>
                <w:b/>
                <w:i/>
              </w:rPr>
              <w:t>ț</w:t>
            </w:r>
            <w:r w:rsidRPr="009D4714">
              <w:rPr>
                <w:b/>
                <w:i/>
              </w:rPr>
              <w:t>iunile alternative analizate, identifica</w:t>
            </w:r>
            <w:r w:rsidR="00176397" w:rsidRPr="009D4714">
              <w:rPr>
                <w:b/>
                <w:i/>
              </w:rPr>
              <w:t>ț</w:t>
            </w:r>
            <w:r w:rsidRPr="009D4714">
              <w:rPr>
                <w:b/>
                <w:i/>
              </w:rPr>
              <w:t>i impacturile completând tabelul din anexa la prezentul formular. Descrie</w:t>
            </w:r>
            <w:r w:rsidR="00176397" w:rsidRPr="009D4714">
              <w:rPr>
                <w:b/>
                <w:i/>
              </w:rPr>
              <w:t>ț</w:t>
            </w:r>
            <w:r w:rsidRPr="009D4714">
              <w:rPr>
                <w:b/>
                <w:i/>
              </w:rPr>
              <w:t>i pe larg impacturile sub formă de costuri sau beneficii, inclusiv păr</w:t>
            </w:r>
            <w:r w:rsidR="00176397" w:rsidRPr="009D4714">
              <w:rPr>
                <w:b/>
                <w:i/>
              </w:rPr>
              <w:t>ț</w:t>
            </w:r>
            <w:r w:rsidRPr="009D4714">
              <w:rPr>
                <w:b/>
                <w:i/>
              </w:rPr>
              <w:t xml:space="preserve">ile interesate care ar putea fi afectate pozitiv </w:t>
            </w:r>
            <w:r w:rsidR="00176397" w:rsidRPr="009D4714">
              <w:rPr>
                <w:b/>
                <w:i/>
              </w:rPr>
              <w:t>ș</w:t>
            </w:r>
            <w:r w:rsidRPr="009D4714">
              <w:rPr>
                <w:b/>
                <w:i/>
              </w:rPr>
              <w:t>i negativ de acestea</w:t>
            </w:r>
          </w:p>
        </w:tc>
      </w:tr>
      <w:tr w:rsidR="00FB609F" w:rsidRPr="009D4714" w14:paraId="1DA2EA3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9CD40F1" w14:textId="77777777" w:rsidR="00FB609F" w:rsidRPr="009D4714" w:rsidRDefault="00F62480" w:rsidP="00176397">
            <w:pPr>
              <w:ind w:firstLine="307"/>
              <w:jc w:val="both"/>
            </w:pPr>
            <w:r w:rsidRPr="009D4714">
              <w:t>În contextul prevederilor legisla</w:t>
            </w:r>
            <w:r w:rsidR="00176397" w:rsidRPr="009D4714">
              <w:t>ț</w:t>
            </w:r>
            <w:r w:rsidRPr="009D4714">
              <w:t>iei în vigoare, nu au fost identificate op</w:t>
            </w:r>
            <w:r w:rsidR="00176397" w:rsidRPr="009D4714">
              <w:t>ț</w:t>
            </w:r>
            <w:r w:rsidRPr="009D4714">
              <w:t>iuni alternative de interven</w:t>
            </w:r>
            <w:r w:rsidR="00176397" w:rsidRPr="009D4714">
              <w:t>ț</w:t>
            </w:r>
            <w:r w:rsidRPr="009D4714">
              <w:t>ie.</w:t>
            </w:r>
          </w:p>
          <w:p w14:paraId="0241493A" w14:textId="77777777" w:rsidR="00D022F0" w:rsidRPr="009D4714" w:rsidRDefault="00D022F0" w:rsidP="00176397">
            <w:pPr>
              <w:ind w:firstLine="307"/>
              <w:jc w:val="both"/>
            </w:pPr>
            <w:r w:rsidRPr="009D4714">
              <w:t>Impacturile și beneficiile au fost descrise la secțiunile a) și b1) din compartimentul 4.</w:t>
            </w:r>
          </w:p>
        </w:tc>
      </w:tr>
      <w:tr w:rsidR="00FB609F" w:rsidRPr="009D4714" w14:paraId="3D1817D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E00505F" w14:textId="77777777" w:rsidR="00FB609F" w:rsidRPr="009D4714" w:rsidRDefault="00F62480" w:rsidP="00176397">
            <w:r w:rsidRPr="009D4714">
              <w:rPr>
                <w:b/>
                <w:i/>
              </w:rPr>
              <w:t>c) Pentru op</w:t>
            </w:r>
            <w:r w:rsidR="00176397" w:rsidRPr="009D4714">
              <w:rPr>
                <w:b/>
                <w:i/>
              </w:rPr>
              <w:t>ț</w:t>
            </w:r>
            <w:r w:rsidRPr="009D4714">
              <w:rPr>
                <w:b/>
                <w:i/>
              </w:rPr>
              <w:t>iunile analizate, expune</w:t>
            </w:r>
            <w:r w:rsidR="00176397" w:rsidRPr="009D4714">
              <w:rPr>
                <w:b/>
                <w:i/>
              </w:rPr>
              <w:t>ț</w:t>
            </w:r>
            <w:r w:rsidRPr="009D4714">
              <w:rPr>
                <w:b/>
                <w:i/>
              </w:rPr>
              <w:t>i cele mai relevante/iminente riscuri care pot duce la e</w:t>
            </w:r>
            <w:r w:rsidR="00176397" w:rsidRPr="009D4714">
              <w:rPr>
                <w:b/>
                <w:i/>
              </w:rPr>
              <w:t>ș</w:t>
            </w:r>
            <w:r w:rsidRPr="009D4714">
              <w:rPr>
                <w:b/>
                <w:i/>
              </w:rPr>
              <w:t>ecul interven</w:t>
            </w:r>
            <w:r w:rsidR="00176397" w:rsidRPr="009D4714">
              <w:rPr>
                <w:b/>
                <w:i/>
              </w:rPr>
              <w:t>ț</w:t>
            </w:r>
            <w:r w:rsidRPr="009D4714">
              <w:rPr>
                <w:b/>
                <w:i/>
              </w:rPr>
              <w:t xml:space="preserve">iei </w:t>
            </w:r>
            <w:r w:rsidR="00176397" w:rsidRPr="009D4714">
              <w:rPr>
                <w:b/>
                <w:i/>
              </w:rPr>
              <w:t>ș</w:t>
            </w:r>
            <w:r w:rsidRPr="009D4714">
              <w:rPr>
                <w:b/>
                <w:i/>
              </w:rPr>
              <w:t>i/sau schimba substan</w:t>
            </w:r>
            <w:r w:rsidR="00176397" w:rsidRPr="009D4714">
              <w:rPr>
                <w:b/>
                <w:i/>
              </w:rPr>
              <w:t>ț</w:t>
            </w:r>
            <w:r w:rsidRPr="009D4714">
              <w:rPr>
                <w:b/>
                <w:i/>
              </w:rPr>
              <w:t xml:space="preserve">ial valoarea beneficiilor </w:t>
            </w:r>
            <w:r w:rsidR="00176397" w:rsidRPr="009D4714">
              <w:rPr>
                <w:b/>
                <w:i/>
              </w:rPr>
              <w:t>ș</w:t>
            </w:r>
            <w:r w:rsidRPr="009D4714">
              <w:rPr>
                <w:b/>
                <w:i/>
              </w:rPr>
              <w:t xml:space="preserve">i costurilor estimate </w:t>
            </w:r>
            <w:r w:rsidR="00176397" w:rsidRPr="009D4714">
              <w:rPr>
                <w:b/>
                <w:i/>
              </w:rPr>
              <w:t>ș</w:t>
            </w:r>
            <w:r w:rsidRPr="009D4714">
              <w:rPr>
                <w:b/>
                <w:i/>
              </w:rPr>
              <w:t>i prezenta</w:t>
            </w:r>
            <w:r w:rsidR="00176397" w:rsidRPr="009D4714">
              <w:rPr>
                <w:b/>
                <w:i/>
              </w:rPr>
              <w:t>ț</w:t>
            </w:r>
            <w:r w:rsidRPr="009D4714">
              <w:rPr>
                <w:b/>
                <w:i/>
              </w:rPr>
              <w:t>i presupuneri privind gradul de conformare cu prevederile proiectului a celor viza</w:t>
            </w:r>
            <w:r w:rsidR="00176397" w:rsidRPr="009D4714">
              <w:rPr>
                <w:b/>
                <w:i/>
              </w:rPr>
              <w:t>ț</w:t>
            </w:r>
            <w:r w:rsidRPr="009D4714">
              <w:rPr>
                <w:b/>
                <w:i/>
              </w:rPr>
              <w:t>i în acesta</w:t>
            </w:r>
          </w:p>
        </w:tc>
      </w:tr>
      <w:tr w:rsidR="00FB609F" w:rsidRPr="009D4714" w14:paraId="39F58406"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0567574" w14:textId="3076BBD2" w:rsidR="00FB609F" w:rsidRPr="009D4714" w:rsidRDefault="00F62480" w:rsidP="00176397">
            <w:pPr>
              <w:ind w:firstLine="306"/>
              <w:jc w:val="both"/>
            </w:pPr>
            <w:r w:rsidRPr="009D4714">
              <w:t>În urma analizei op</w:t>
            </w:r>
            <w:r w:rsidR="00176397" w:rsidRPr="009D4714">
              <w:t>ț</w:t>
            </w:r>
            <w:r w:rsidRPr="009D4714">
              <w:t>iunii propuse nu au fost identificate riscuri care ar putea duce la e</w:t>
            </w:r>
            <w:r w:rsidR="00176397" w:rsidRPr="009D4714">
              <w:t>ș</w:t>
            </w:r>
            <w:r w:rsidRPr="009D4714">
              <w:t>ecul interven</w:t>
            </w:r>
            <w:r w:rsidR="00176397" w:rsidRPr="009D4714">
              <w:t>ț</w:t>
            </w:r>
            <w:r w:rsidRPr="009D4714">
              <w:t xml:space="preserve">iei sau </w:t>
            </w:r>
            <w:r w:rsidR="00896710" w:rsidRPr="009D4714">
              <w:t xml:space="preserve">în </w:t>
            </w:r>
            <w:r w:rsidRPr="009D4714">
              <w:t>general efecte negative.</w:t>
            </w:r>
          </w:p>
          <w:p w14:paraId="6FE4DCBF" w14:textId="4DE0C9E2" w:rsidR="00FB609F" w:rsidRPr="009D4714" w:rsidRDefault="00FB609F" w:rsidP="00D022F0">
            <w:pPr>
              <w:ind w:firstLine="306"/>
              <w:jc w:val="both"/>
            </w:pPr>
          </w:p>
        </w:tc>
      </w:tr>
      <w:tr w:rsidR="00FB609F" w:rsidRPr="00987EE4" w14:paraId="36949A38"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D69EBE" w14:textId="77777777" w:rsidR="00FB609F" w:rsidRPr="00987EE4" w:rsidRDefault="00F62480" w:rsidP="00176397">
            <w:pPr>
              <w:jc w:val="both"/>
              <w:rPr>
                <w:i/>
                <w:highlight w:val="yellow"/>
              </w:rPr>
            </w:pPr>
            <w:r w:rsidRPr="00A93A6D">
              <w:rPr>
                <w:b/>
                <w:i/>
              </w:rPr>
              <w:t>d) Dacă este cazul, pentru op</w:t>
            </w:r>
            <w:r w:rsidR="00176397" w:rsidRPr="00A93A6D">
              <w:rPr>
                <w:b/>
                <w:i/>
              </w:rPr>
              <w:t>ț</w:t>
            </w:r>
            <w:r w:rsidRPr="00A93A6D">
              <w:rPr>
                <w:b/>
                <w:i/>
              </w:rPr>
              <w:t>iunea recomandată expune</w:t>
            </w:r>
            <w:r w:rsidR="00176397" w:rsidRPr="00A93A6D">
              <w:rPr>
                <w:b/>
                <w:i/>
              </w:rPr>
              <w:t>ț</w:t>
            </w:r>
            <w:r w:rsidRPr="00A93A6D">
              <w:rPr>
                <w:b/>
                <w:i/>
              </w:rPr>
              <w:t>i costurile de conformare pentru întreprinderi, dacă există impact dispropor</w:t>
            </w:r>
            <w:r w:rsidR="00176397" w:rsidRPr="00A93A6D">
              <w:rPr>
                <w:b/>
                <w:i/>
              </w:rPr>
              <w:t>ț</w:t>
            </w:r>
            <w:r w:rsidRPr="00A93A6D">
              <w:rPr>
                <w:b/>
                <w:i/>
              </w:rPr>
              <w:t>ionat care poate distorsiona concuren</w:t>
            </w:r>
            <w:r w:rsidR="00176397" w:rsidRPr="00A93A6D">
              <w:rPr>
                <w:b/>
                <w:i/>
              </w:rPr>
              <w:t>ț</w:t>
            </w:r>
            <w:r w:rsidRPr="00A93A6D">
              <w:rPr>
                <w:b/>
                <w:i/>
              </w:rPr>
              <w:t xml:space="preserve">a </w:t>
            </w:r>
            <w:r w:rsidR="00176397" w:rsidRPr="00A93A6D">
              <w:rPr>
                <w:b/>
                <w:i/>
              </w:rPr>
              <w:t>ș</w:t>
            </w:r>
            <w:r w:rsidRPr="00A93A6D">
              <w:rPr>
                <w:b/>
                <w:i/>
              </w:rPr>
              <w:t>i ce impact are op</w:t>
            </w:r>
            <w:r w:rsidR="00176397" w:rsidRPr="00A93A6D">
              <w:rPr>
                <w:b/>
                <w:i/>
              </w:rPr>
              <w:t>ț</w:t>
            </w:r>
            <w:r w:rsidRPr="00A93A6D">
              <w:rPr>
                <w:b/>
                <w:i/>
              </w:rPr>
              <w:t xml:space="preserve">iunea asupra întreprinderilor mici </w:t>
            </w:r>
            <w:r w:rsidR="00176397" w:rsidRPr="00A93A6D">
              <w:rPr>
                <w:b/>
                <w:i/>
              </w:rPr>
              <w:t>ș</w:t>
            </w:r>
            <w:r w:rsidRPr="00A93A6D">
              <w:rPr>
                <w:b/>
                <w:i/>
              </w:rPr>
              <w:t xml:space="preserve">i mijlocii. Se explică dacă </w:t>
            </w:r>
            <w:r w:rsidR="00311D36" w:rsidRPr="00A93A6D">
              <w:rPr>
                <w:b/>
                <w:i/>
              </w:rPr>
              <w:t>sunt</w:t>
            </w:r>
            <w:r w:rsidRPr="00A93A6D">
              <w:rPr>
                <w:b/>
                <w:i/>
              </w:rPr>
              <w:t xml:space="preserve"> propuse măsuri de diminuare a acestor impacturi</w:t>
            </w:r>
          </w:p>
        </w:tc>
      </w:tr>
      <w:tr w:rsidR="00FB609F" w:rsidRPr="009D4714" w14:paraId="31481035"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DED1CD9" w14:textId="086EA2CE" w:rsidR="00311D36" w:rsidRPr="009D4714" w:rsidRDefault="00A16C69" w:rsidP="00176397">
            <w:pPr>
              <w:ind w:firstLine="587"/>
              <w:jc w:val="both"/>
            </w:pPr>
            <w:r>
              <w:t>Implementarea</w:t>
            </w:r>
            <w:r w:rsidR="00C05801" w:rsidRPr="003D0F9D">
              <w:rPr>
                <w:lang w:val="es-ES"/>
              </w:rPr>
              <w:t xml:space="preserve"> </w:t>
            </w:r>
            <w:r>
              <w:t xml:space="preserve">modificărilor propuse în cadrul </w:t>
            </w:r>
            <w:r w:rsidR="00935766" w:rsidRPr="009D4714">
              <w:t>R</w:t>
            </w:r>
            <w:r>
              <w:t>PEE</w:t>
            </w:r>
            <w:r w:rsidR="00935766" w:rsidRPr="009D4714">
              <w:t xml:space="preserve"> nu va genera noi costuri de conformare, suportate </w:t>
            </w:r>
            <w:r w:rsidR="009905C2">
              <w:t xml:space="preserve">de </w:t>
            </w:r>
            <w:r>
              <w:t>participanții la piața de energie electrică, dat fiind faptul că intervențiile propuse vin să soluționeze carențele identificate la nivelul unor mecanisme și relații deja existente, aplicabile la moment, care au loc între OST și PRE-uri</w:t>
            </w:r>
            <w:r w:rsidR="00935766" w:rsidRPr="009D4714">
              <w:t>.</w:t>
            </w:r>
          </w:p>
          <w:p w14:paraId="0CBC5CFD" w14:textId="2E9AD313" w:rsidR="00FB609F" w:rsidRPr="009D4714" w:rsidRDefault="00C05801" w:rsidP="00C05801">
            <w:pPr>
              <w:ind w:firstLine="573"/>
              <w:jc w:val="both"/>
            </w:pPr>
            <w:r>
              <w:t>Respectiv, nu pot fi identificate și cuantificate costuri asociate opțiunii recomandate</w:t>
            </w:r>
            <w:r w:rsidR="00B01025" w:rsidRPr="009D4714">
              <w:t xml:space="preserve">. </w:t>
            </w:r>
          </w:p>
        </w:tc>
      </w:tr>
      <w:tr w:rsidR="00FB609F" w:rsidRPr="009D4714" w14:paraId="20A444FD"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4A280DE" w14:textId="77777777" w:rsidR="00FB609F" w:rsidRPr="009D4714" w:rsidRDefault="00F62480" w:rsidP="00176397">
            <w:r w:rsidRPr="009D4714">
              <w:rPr>
                <w:b/>
                <w:u w:val="single"/>
              </w:rPr>
              <w:t>Concluzie</w:t>
            </w:r>
          </w:p>
          <w:p w14:paraId="5936A6A7" w14:textId="77777777" w:rsidR="00FB609F" w:rsidRPr="009D4714" w:rsidRDefault="00F62480" w:rsidP="00176397">
            <w:r w:rsidRPr="009D4714">
              <w:rPr>
                <w:b/>
              </w:rPr>
              <w:t>e) Argumenta</w:t>
            </w:r>
            <w:r w:rsidR="00176397" w:rsidRPr="009D4714">
              <w:rPr>
                <w:b/>
              </w:rPr>
              <w:t>ț</w:t>
            </w:r>
            <w:r w:rsidRPr="009D4714">
              <w:rPr>
                <w:b/>
              </w:rPr>
              <w:t>i selectarea unei op</w:t>
            </w:r>
            <w:r w:rsidR="00176397" w:rsidRPr="009D4714">
              <w:rPr>
                <w:b/>
              </w:rPr>
              <w:t>ț</w:t>
            </w:r>
            <w:r w:rsidRPr="009D4714">
              <w:rPr>
                <w:b/>
              </w:rPr>
              <w:t xml:space="preserve">iunii, în baza atingerii obiectivelor, beneficiilor </w:t>
            </w:r>
            <w:r w:rsidR="00176397" w:rsidRPr="009D4714">
              <w:rPr>
                <w:b/>
              </w:rPr>
              <w:t>ș</w:t>
            </w:r>
            <w:r w:rsidRPr="009D4714">
              <w:rPr>
                <w:b/>
              </w:rPr>
              <w:t xml:space="preserve">i costurilor, precum </w:t>
            </w:r>
            <w:r w:rsidR="00176397" w:rsidRPr="009D4714">
              <w:rPr>
                <w:b/>
              </w:rPr>
              <w:t>ș</w:t>
            </w:r>
            <w:r w:rsidRPr="009D4714">
              <w:rPr>
                <w:b/>
              </w:rPr>
              <w:t>i a asigurării celui mai mic impact negativ asupra celor afecta</w:t>
            </w:r>
            <w:r w:rsidR="00176397" w:rsidRPr="009D4714">
              <w:rPr>
                <w:b/>
              </w:rPr>
              <w:t>ț</w:t>
            </w:r>
            <w:r w:rsidRPr="009D4714">
              <w:rPr>
                <w:b/>
              </w:rPr>
              <w:t>i</w:t>
            </w:r>
          </w:p>
        </w:tc>
      </w:tr>
      <w:tr w:rsidR="00FB609F" w:rsidRPr="009D4714" w14:paraId="24952225"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8F75C19" w14:textId="2A8039F4" w:rsidR="00FB609F" w:rsidRPr="009D4714" w:rsidRDefault="00BA475F" w:rsidP="004B23AF">
            <w:pPr>
              <w:ind w:firstLine="573"/>
              <w:jc w:val="both"/>
            </w:pPr>
            <w:r>
              <w:t>În  concluzie</w:t>
            </w:r>
            <w:r w:rsidR="007C5365" w:rsidRPr="009D4714">
              <w:t xml:space="preserve">, </w:t>
            </w:r>
            <w:r w:rsidR="00B90B93" w:rsidRPr="009D4714">
              <w:t xml:space="preserve">luând în considerare faptul că intervenția de reglementare duce la </w:t>
            </w:r>
            <w:r w:rsidR="00F65117" w:rsidRPr="009D4714">
              <w:t xml:space="preserve">diminuarea </w:t>
            </w:r>
            <w:r>
              <w:t>costurilor aferente responsabilității financiare pentru dezechilibrele create de participanții pi</w:t>
            </w:r>
            <w:r w:rsidR="004B23AF">
              <w:t>e</w:t>
            </w:r>
            <w:r>
              <w:t>ț</w:t>
            </w:r>
            <w:r w:rsidR="004B23AF">
              <w:t>ei</w:t>
            </w:r>
            <w:r>
              <w:t xml:space="preserve"> energie</w:t>
            </w:r>
            <w:r w:rsidR="004B23AF">
              <w:t>i</w:t>
            </w:r>
            <w:r>
              <w:t xml:space="preserve"> electric</w:t>
            </w:r>
            <w:r w:rsidR="004B23AF">
              <w:t>e</w:t>
            </w:r>
            <w:r w:rsidR="00F65117" w:rsidRPr="009D4714">
              <w:t xml:space="preserve">, </w:t>
            </w:r>
            <w:r w:rsidR="00A13D01" w:rsidRPr="009D4714">
              <w:t xml:space="preserve">având un impact pozitiv comparativ cu situația actuală, </w:t>
            </w:r>
            <w:r w:rsidR="007C5365" w:rsidRPr="009D4714">
              <w:t xml:space="preserve">autorii prezentei AIR optează pentru </w:t>
            </w:r>
            <w:r w:rsidR="00675F58" w:rsidRPr="009D4714">
              <w:t>op</w:t>
            </w:r>
            <w:r w:rsidR="00176397" w:rsidRPr="009D4714">
              <w:t>ț</w:t>
            </w:r>
            <w:r w:rsidR="00675F58" w:rsidRPr="009D4714">
              <w:t>iunea</w:t>
            </w:r>
            <w:r w:rsidR="007C5365" w:rsidRPr="009D4714">
              <w:t xml:space="preserve"> care presupune elaborarea </w:t>
            </w:r>
            <w:r w:rsidR="00176397" w:rsidRPr="009D4714">
              <w:t>ș</w:t>
            </w:r>
            <w:r w:rsidR="00675F58" w:rsidRPr="009D4714">
              <w:t>i</w:t>
            </w:r>
            <w:r w:rsidR="007C5365" w:rsidRPr="009D4714">
              <w:t xml:space="preserve"> promovarea spre a</w:t>
            </w:r>
            <w:r w:rsidR="004B23AF">
              <w:t xml:space="preserve">probare </w:t>
            </w:r>
            <w:r w:rsidR="007C5365" w:rsidRPr="009D4714">
              <w:t xml:space="preserve">a </w:t>
            </w:r>
            <w:r w:rsidR="001164E7" w:rsidRPr="009D4714">
              <w:t xml:space="preserve">proiectului de modificare a </w:t>
            </w:r>
            <w:r>
              <w:t>RPEE</w:t>
            </w:r>
            <w:r w:rsidR="007C5365" w:rsidRPr="009D4714">
              <w:t>.</w:t>
            </w:r>
          </w:p>
        </w:tc>
      </w:tr>
      <w:tr w:rsidR="00FB609F" w:rsidRPr="009D4714" w14:paraId="5AD0F78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84BB0F9" w14:textId="77777777" w:rsidR="00FB609F" w:rsidRPr="009D4714" w:rsidRDefault="00F62480" w:rsidP="00176397">
            <w:r w:rsidRPr="008F23D0">
              <w:rPr>
                <w:b/>
              </w:rPr>
              <w:t xml:space="preserve">5. Implementarea </w:t>
            </w:r>
            <w:r w:rsidR="00176397" w:rsidRPr="008F23D0">
              <w:rPr>
                <w:b/>
              </w:rPr>
              <w:t>ș</w:t>
            </w:r>
            <w:r w:rsidR="00675F58" w:rsidRPr="008F23D0">
              <w:rPr>
                <w:b/>
              </w:rPr>
              <w:t>i</w:t>
            </w:r>
            <w:r w:rsidRPr="008F23D0">
              <w:rPr>
                <w:b/>
              </w:rPr>
              <w:t xml:space="preserve"> monitorizarea</w:t>
            </w:r>
          </w:p>
        </w:tc>
      </w:tr>
      <w:tr w:rsidR="00FB609F" w:rsidRPr="009D4714" w14:paraId="3F80614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DB4E34A" w14:textId="77777777" w:rsidR="00FB609F" w:rsidRPr="009D4714" w:rsidRDefault="00F62480" w:rsidP="00176397">
            <w:r w:rsidRPr="009D4714">
              <w:rPr>
                <w:b/>
                <w:i/>
              </w:rPr>
              <w:t>a) Descrie</w:t>
            </w:r>
            <w:r w:rsidR="00176397" w:rsidRPr="009D4714">
              <w:rPr>
                <w:b/>
                <w:i/>
              </w:rPr>
              <w:t>ț</w:t>
            </w:r>
            <w:r w:rsidRPr="009D4714">
              <w:rPr>
                <w:b/>
                <w:i/>
              </w:rPr>
              <w:t>i cum va fi organizată implementarea op</w:t>
            </w:r>
            <w:r w:rsidR="00176397" w:rsidRPr="009D4714">
              <w:rPr>
                <w:b/>
                <w:i/>
              </w:rPr>
              <w:t>ț</w:t>
            </w:r>
            <w:r w:rsidRPr="009D4714">
              <w:rPr>
                <w:b/>
                <w:i/>
              </w:rPr>
              <w:t xml:space="preserve">iunii recomandate, ce cadru juridic necesită a fi modificat </w:t>
            </w:r>
            <w:r w:rsidR="00176397" w:rsidRPr="009D4714">
              <w:rPr>
                <w:b/>
                <w:i/>
              </w:rPr>
              <w:t>ș</w:t>
            </w:r>
            <w:r w:rsidRPr="009D4714">
              <w:rPr>
                <w:b/>
                <w:i/>
              </w:rPr>
              <w:t xml:space="preserve">i/sau elaborat </w:t>
            </w:r>
            <w:r w:rsidR="00176397" w:rsidRPr="009D4714">
              <w:rPr>
                <w:b/>
                <w:i/>
              </w:rPr>
              <w:t>ș</w:t>
            </w:r>
            <w:r w:rsidRPr="009D4714">
              <w:rPr>
                <w:b/>
                <w:i/>
              </w:rPr>
              <w:t>i aprobat, ce schimbări institu</w:t>
            </w:r>
            <w:r w:rsidR="00176397" w:rsidRPr="009D4714">
              <w:rPr>
                <w:b/>
                <w:i/>
              </w:rPr>
              <w:t>ț</w:t>
            </w:r>
            <w:r w:rsidRPr="009D4714">
              <w:rPr>
                <w:b/>
                <w:i/>
              </w:rPr>
              <w:t>ionale sunt necesare </w:t>
            </w:r>
          </w:p>
        </w:tc>
      </w:tr>
      <w:tr w:rsidR="00FB609F" w:rsidRPr="009D4714" w14:paraId="7298FF8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B20C100" w14:textId="4BB91CDE" w:rsidR="00FB609F" w:rsidRPr="009D4714" w:rsidRDefault="00F62480" w:rsidP="004B23AF">
            <w:pPr>
              <w:ind w:firstLine="573"/>
              <w:jc w:val="both"/>
            </w:pPr>
            <w:r w:rsidRPr="009D4714">
              <w:t>În prezent, cadrul juridic con</w:t>
            </w:r>
            <w:r w:rsidR="00176397" w:rsidRPr="009D4714">
              <w:t>ț</w:t>
            </w:r>
            <w:r w:rsidRPr="009D4714">
              <w:t>ine prevederile necesare pentru a permite Agen</w:t>
            </w:r>
            <w:r w:rsidR="00176397" w:rsidRPr="009D4714">
              <w:t>ț</w:t>
            </w:r>
            <w:r w:rsidRPr="009D4714">
              <w:t xml:space="preserve">iei de a efectua monitorizarea </w:t>
            </w:r>
            <w:r w:rsidR="00935766" w:rsidRPr="009D4714">
              <w:t>activită</w:t>
            </w:r>
            <w:r w:rsidR="00176397" w:rsidRPr="009D4714">
              <w:t>ț</w:t>
            </w:r>
            <w:r w:rsidR="00935766" w:rsidRPr="009D4714">
              <w:t>ii</w:t>
            </w:r>
            <w:r w:rsidR="00305A7E">
              <w:t xml:space="preserve"> desfășurate de</w:t>
            </w:r>
            <w:r w:rsidR="00935766" w:rsidRPr="009D4714">
              <w:t xml:space="preserve"> </w:t>
            </w:r>
            <w:r w:rsidR="00305A7E">
              <w:t>participanții pi</w:t>
            </w:r>
            <w:r w:rsidR="004B23AF">
              <w:t>e</w:t>
            </w:r>
            <w:r w:rsidR="00305A7E">
              <w:t>ț</w:t>
            </w:r>
            <w:r w:rsidR="004B23AF">
              <w:t>ei</w:t>
            </w:r>
            <w:r w:rsidR="00305A7E">
              <w:t xml:space="preserve"> energiei electrice</w:t>
            </w:r>
            <w:r w:rsidRPr="009D4714">
              <w:t>.</w:t>
            </w:r>
          </w:p>
        </w:tc>
      </w:tr>
      <w:tr w:rsidR="00FB609F" w:rsidRPr="009D4714" w14:paraId="137C122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8FD8C6" w14:textId="77777777" w:rsidR="00FB609F" w:rsidRPr="009D4714" w:rsidRDefault="00F62480" w:rsidP="00176397">
            <w:r w:rsidRPr="009D4714">
              <w:rPr>
                <w:i/>
              </w:rPr>
              <w:t>b) Indica</w:t>
            </w:r>
            <w:r w:rsidR="00176397" w:rsidRPr="009D4714">
              <w:rPr>
                <w:i/>
              </w:rPr>
              <w:t>ț</w:t>
            </w:r>
            <w:r w:rsidRPr="009D4714">
              <w:rPr>
                <w:i/>
              </w:rPr>
              <w:t>i clar indicatorii de performan</w:t>
            </w:r>
            <w:r w:rsidR="00176397" w:rsidRPr="009D4714">
              <w:rPr>
                <w:i/>
              </w:rPr>
              <w:t>ț</w:t>
            </w:r>
            <w:r w:rsidRPr="009D4714">
              <w:rPr>
                <w:i/>
              </w:rPr>
              <w:t>ă în baza cărora se va efectua monitorizarea</w:t>
            </w:r>
          </w:p>
        </w:tc>
      </w:tr>
      <w:tr w:rsidR="00FB609F" w:rsidRPr="009D4714" w14:paraId="32EA4D67"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D11D24" w14:textId="2E28F8CD" w:rsidR="00FB609F" w:rsidRPr="009D4714" w:rsidRDefault="00F62480" w:rsidP="00176397">
            <w:pPr>
              <w:ind w:firstLine="589"/>
              <w:jc w:val="both"/>
            </w:pPr>
            <w:r w:rsidRPr="009D4714">
              <w:t>Poten</w:t>
            </w:r>
            <w:r w:rsidR="00176397" w:rsidRPr="009D4714">
              <w:t>ț</w:t>
            </w:r>
            <w:r w:rsidRPr="009D4714">
              <w:t>iali indicatori de performan</w:t>
            </w:r>
            <w:r w:rsidR="00176397" w:rsidRPr="009D4714">
              <w:t>ț</w:t>
            </w:r>
            <w:r w:rsidRPr="009D4714">
              <w:t>ă ce ar putea fi utiliza</w:t>
            </w:r>
            <w:r w:rsidR="00176397" w:rsidRPr="009D4714">
              <w:t>ț</w:t>
            </w:r>
            <w:r w:rsidRPr="009D4714">
              <w:t xml:space="preserve">i pentru a efectua monitorizarea </w:t>
            </w:r>
            <w:r w:rsidR="00176397" w:rsidRPr="009D4714">
              <w:t>ș</w:t>
            </w:r>
            <w:r w:rsidRPr="009D4714">
              <w:t>i impactul</w:t>
            </w:r>
            <w:r w:rsidR="008F23D0">
              <w:t>ui</w:t>
            </w:r>
            <w:r w:rsidRPr="009D4714">
              <w:t xml:space="preserve"> interven</w:t>
            </w:r>
            <w:r w:rsidR="00176397" w:rsidRPr="009D4714">
              <w:t>ț</w:t>
            </w:r>
            <w:r w:rsidRPr="009D4714">
              <w:t>iei propuse:</w:t>
            </w:r>
          </w:p>
          <w:p w14:paraId="40CEFAD7" w14:textId="77777777" w:rsidR="00726471" w:rsidRDefault="008F23D0" w:rsidP="00726471">
            <w:pPr>
              <w:numPr>
                <w:ilvl w:val="0"/>
                <w:numId w:val="1"/>
              </w:numPr>
              <w:jc w:val="both"/>
            </w:pPr>
            <w:r>
              <w:t>Prețul pentru energie electrică de echilibrare (atât de deficit cât și de excedent);</w:t>
            </w:r>
          </w:p>
          <w:p w14:paraId="7584CB69" w14:textId="1594959C" w:rsidR="008F23D0" w:rsidRDefault="008F23D0" w:rsidP="00726471">
            <w:pPr>
              <w:numPr>
                <w:ilvl w:val="0"/>
                <w:numId w:val="1"/>
              </w:numPr>
              <w:jc w:val="both"/>
            </w:pPr>
            <w:r>
              <w:t>Valoarea costurilor/veniturilor suplimentare înregistrate lunar de către OST în procesul de echilibrare al sistemului</w:t>
            </w:r>
            <w:r w:rsidR="004B23AF">
              <w:t xml:space="preserve"> electroenergetic</w:t>
            </w:r>
            <w:r>
              <w:t>;</w:t>
            </w:r>
          </w:p>
          <w:p w14:paraId="69B07E4D" w14:textId="16DC1E47" w:rsidR="008F23D0" w:rsidRPr="009D4714" w:rsidRDefault="008F23D0" w:rsidP="008F23D0">
            <w:pPr>
              <w:numPr>
                <w:ilvl w:val="0"/>
                <w:numId w:val="1"/>
              </w:numPr>
              <w:jc w:val="both"/>
            </w:pPr>
            <w:r>
              <w:t>Valoarea costurilor/veniturilor suplimentare înregistrate lunar de către OST distribuite către PRE-urile</w:t>
            </w:r>
            <w:r w:rsidR="004B23AF">
              <w:t>, grupurile de echilibrare</w:t>
            </w:r>
            <w:r>
              <w:t>;</w:t>
            </w:r>
          </w:p>
        </w:tc>
      </w:tr>
      <w:tr w:rsidR="00741206" w:rsidRPr="009D4714" w14:paraId="0F646B41"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A844CE" w14:textId="77777777" w:rsidR="00FB609F" w:rsidRPr="009D4714" w:rsidRDefault="00F62480" w:rsidP="00176397">
            <w:r w:rsidRPr="009D4714">
              <w:rPr>
                <w:i/>
              </w:rPr>
              <w:lastRenderedPageBreak/>
              <w:t>c) Identifica</w:t>
            </w:r>
            <w:r w:rsidR="00176397" w:rsidRPr="009D4714">
              <w:rPr>
                <w:i/>
              </w:rPr>
              <w:t>ț</w:t>
            </w:r>
            <w:r w:rsidRPr="009D4714">
              <w:rPr>
                <w:i/>
              </w:rPr>
              <w:t xml:space="preserve">i peste </w:t>
            </w:r>
            <w:r w:rsidR="00311D36" w:rsidRPr="009D4714">
              <w:rPr>
                <w:i/>
              </w:rPr>
              <w:t>cât</w:t>
            </w:r>
            <w:r w:rsidRPr="009D4714">
              <w:rPr>
                <w:i/>
              </w:rPr>
              <w:t xml:space="preserve"> timp vor fi resim</w:t>
            </w:r>
            <w:r w:rsidR="00176397" w:rsidRPr="009D4714">
              <w:rPr>
                <w:i/>
              </w:rPr>
              <w:t>ț</w:t>
            </w:r>
            <w:r w:rsidRPr="009D4714">
              <w:rPr>
                <w:i/>
              </w:rPr>
              <w:t xml:space="preserve">ite impacturile estimate </w:t>
            </w:r>
            <w:r w:rsidR="00176397" w:rsidRPr="009D4714">
              <w:rPr>
                <w:i/>
              </w:rPr>
              <w:t>ș</w:t>
            </w:r>
            <w:r w:rsidRPr="009D4714">
              <w:rPr>
                <w:i/>
              </w:rPr>
              <w:t>i este necesară evaluarea performan</w:t>
            </w:r>
            <w:r w:rsidR="00176397" w:rsidRPr="009D4714">
              <w:rPr>
                <w:i/>
              </w:rPr>
              <w:t>ț</w:t>
            </w:r>
            <w:r w:rsidRPr="009D4714">
              <w:rPr>
                <w:i/>
              </w:rPr>
              <w:t>ei actului normativ propus. Explica</w:t>
            </w:r>
            <w:r w:rsidR="00176397" w:rsidRPr="009D4714">
              <w:rPr>
                <w:i/>
              </w:rPr>
              <w:t>ț</w:t>
            </w:r>
            <w:r w:rsidRPr="009D4714">
              <w:rPr>
                <w:i/>
              </w:rPr>
              <w:t xml:space="preserve">i cum va fi monitorizată </w:t>
            </w:r>
            <w:r w:rsidR="00176397" w:rsidRPr="009D4714">
              <w:rPr>
                <w:i/>
              </w:rPr>
              <w:t>ș</w:t>
            </w:r>
            <w:r w:rsidR="00675F58" w:rsidRPr="009D4714">
              <w:rPr>
                <w:i/>
              </w:rPr>
              <w:t>i</w:t>
            </w:r>
            <w:r w:rsidRPr="009D4714">
              <w:rPr>
                <w:i/>
              </w:rPr>
              <w:t xml:space="preserve"> evaluată </w:t>
            </w:r>
            <w:r w:rsidR="00675F58" w:rsidRPr="009D4714">
              <w:rPr>
                <w:i/>
              </w:rPr>
              <w:t>op</w:t>
            </w:r>
            <w:r w:rsidR="00176397" w:rsidRPr="009D4714">
              <w:rPr>
                <w:i/>
              </w:rPr>
              <w:t>ț</w:t>
            </w:r>
            <w:r w:rsidR="00675F58" w:rsidRPr="009D4714">
              <w:rPr>
                <w:i/>
              </w:rPr>
              <w:t>iunea</w:t>
            </w:r>
          </w:p>
        </w:tc>
      </w:tr>
      <w:tr w:rsidR="00741206" w:rsidRPr="009D4714" w14:paraId="56C2BDC8"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735CFB" w14:textId="56F83C54" w:rsidR="00162DF7" w:rsidRPr="009D4714" w:rsidRDefault="009E22C5" w:rsidP="004B23AF">
            <w:pPr>
              <w:ind w:firstLine="573"/>
              <w:jc w:val="both"/>
            </w:pPr>
            <w:r>
              <w:t xml:space="preserve">Impactul asupra participanților la piața angro de energie electrică va fi resimțit cel puțin peste 1-2 luni după intrarea în vigoare a modificărilor propuse, considerând că anume în intervalul respectiv OST va realiza decontarea dezechilibrelor </w:t>
            </w:r>
            <w:r w:rsidR="004B23AF">
              <w:t xml:space="preserve">luând în </w:t>
            </w:r>
            <w:r>
              <w:t>consider</w:t>
            </w:r>
            <w:r w:rsidR="004B23AF">
              <w:t>are</w:t>
            </w:r>
            <w:r>
              <w:t xml:space="preserve"> modificăril</w:t>
            </w:r>
            <w:r w:rsidR="004B23AF">
              <w:t>e</w:t>
            </w:r>
            <w:r>
              <w:t xml:space="preserve"> propuse în cadrul RPEE. În ceea ce ține de impactul potențial asupra prețului achitat de consumatorii finali la prețuri reglementate, acesta poate fi resimțit ulterior.</w:t>
            </w:r>
          </w:p>
        </w:tc>
      </w:tr>
      <w:tr w:rsidR="00741206" w:rsidRPr="009D4714" w14:paraId="3F3AA6ED"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F0C11F8" w14:textId="77777777" w:rsidR="00FB609F" w:rsidRPr="00536A33" w:rsidRDefault="00F62480" w:rsidP="00176397">
            <w:pPr>
              <w:rPr>
                <w:b/>
              </w:rPr>
            </w:pPr>
            <w:r w:rsidRPr="00536A33">
              <w:rPr>
                <w:b/>
              </w:rPr>
              <w:t>6. Consultarea</w:t>
            </w:r>
          </w:p>
          <w:p w14:paraId="07F78F21" w14:textId="4B192778" w:rsidR="00536A33" w:rsidRPr="009D4714" w:rsidRDefault="00536A33" w:rsidP="00176397"/>
        </w:tc>
      </w:tr>
      <w:tr w:rsidR="00741206" w:rsidRPr="009D4714" w14:paraId="7444F234"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822A5F1" w14:textId="77777777" w:rsidR="00FB609F" w:rsidRPr="009D4714" w:rsidRDefault="00F62480" w:rsidP="00176397">
            <w:r w:rsidRPr="009D4714">
              <w:rPr>
                <w:b/>
                <w:i/>
              </w:rPr>
              <w:t>a) Identifica</w:t>
            </w:r>
            <w:r w:rsidR="00176397" w:rsidRPr="009D4714">
              <w:rPr>
                <w:b/>
                <w:i/>
              </w:rPr>
              <w:t>ț</w:t>
            </w:r>
            <w:r w:rsidRPr="009D4714">
              <w:rPr>
                <w:b/>
                <w:i/>
              </w:rPr>
              <w:t>i principalele păr</w:t>
            </w:r>
            <w:r w:rsidR="00176397" w:rsidRPr="009D4714">
              <w:rPr>
                <w:b/>
                <w:i/>
              </w:rPr>
              <w:t>ț</w:t>
            </w:r>
            <w:r w:rsidRPr="009D4714">
              <w:rPr>
                <w:b/>
                <w:i/>
              </w:rPr>
              <w:t>i (grupuri) interesate în interven</w:t>
            </w:r>
            <w:r w:rsidR="00176397" w:rsidRPr="009D4714">
              <w:rPr>
                <w:b/>
                <w:i/>
              </w:rPr>
              <w:t>ț</w:t>
            </w:r>
            <w:r w:rsidRPr="009D4714">
              <w:rPr>
                <w:b/>
                <w:i/>
              </w:rPr>
              <w:t>ia propusă</w:t>
            </w:r>
          </w:p>
        </w:tc>
      </w:tr>
      <w:tr w:rsidR="00741206" w:rsidRPr="009D4714" w14:paraId="0369168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0CA510" w14:textId="753637D5" w:rsidR="00FB609F" w:rsidRPr="00B126CC" w:rsidRDefault="00B126CC" w:rsidP="00176397">
            <w:pPr>
              <w:numPr>
                <w:ilvl w:val="0"/>
                <w:numId w:val="2"/>
              </w:numPr>
              <w:rPr>
                <w:rFonts w:ascii="Roboto" w:eastAsia="Roboto" w:hAnsi="Roboto" w:cs="Roboto"/>
                <w:sz w:val="21"/>
                <w:szCs w:val="21"/>
                <w:highlight w:val="white"/>
              </w:rPr>
            </w:pPr>
            <w:r>
              <w:t>Producătorii de energie electrică</w:t>
            </w:r>
            <w:r w:rsidR="00F62480" w:rsidRPr="009D4714">
              <w:t>;</w:t>
            </w:r>
          </w:p>
          <w:p w14:paraId="3C08EC47" w14:textId="69305A1A" w:rsidR="00B126CC" w:rsidRPr="009D4714" w:rsidRDefault="00B126CC" w:rsidP="00176397">
            <w:pPr>
              <w:numPr>
                <w:ilvl w:val="0"/>
                <w:numId w:val="2"/>
              </w:numPr>
              <w:rPr>
                <w:rFonts w:ascii="Roboto" w:eastAsia="Roboto" w:hAnsi="Roboto" w:cs="Roboto"/>
                <w:sz w:val="21"/>
                <w:szCs w:val="21"/>
                <w:highlight w:val="white"/>
              </w:rPr>
            </w:pPr>
            <w:r w:rsidRPr="009D4714">
              <w:t>Furnizorii de energie electrică</w:t>
            </w:r>
            <w:r>
              <w:t>;</w:t>
            </w:r>
          </w:p>
          <w:p w14:paraId="5B8FCFFC" w14:textId="77777777" w:rsidR="00FB609F" w:rsidRPr="009D4714" w:rsidRDefault="00F62480" w:rsidP="00176397">
            <w:pPr>
              <w:numPr>
                <w:ilvl w:val="0"/>
                <w:numId w:val="2"/>
              </w:numPr>
              <w:rPr>
                <w:rFonts w:ascii="Roboto" w:eastAsia="Roboto" w:hAnsi="Roboto" w:cs="Roboto"/>
                <w:sz w:val="21"/>
                <w:szCs w:val="21"/>
                <w:highlight w:val="white"/>
              </w:rPr>
            </w:pPr>
            <w:r w:rsidRPr="009D4714">
              <w:t>Operatorii sistemelor de distribu</w:t>
            </w:r>
            <w:r w:rsidR="00176397" w:rsidRPr="009D4714">
              <w:t>ț</w:t>
            </w:r>
            <w:r w:rsidRPr="009D4714">
              <w:t xml:space="preserve">ie a </w:t>
            </w:r>
            <w:r w:rsidR="00373041" w:rsidRPr="009D4714">
              <w:t>energiei electrice</w:t>
            </w:r>
            <w:r w:rsidRPr="009D4714">
              <w:t>;</w:t>
            </w:r>
          </w:p>
          <w:p w14:paraId="3A1A19C5" w14:textId="30801BC5" w:rsidR="00FC7EFA" w:rsidRPr="005B6B86" w:rsidRDefault="005B6B86" w:rsidP="00176397">
            <w:pPr>
              <w:numPr>
                <w:ilvl w:val="0"/>
                <w:numId w:val="2"/>
              </w:numPr>
              <w:rPr>
                <w:rFonts w:ascii="Roboto" w:eastAsia="Roboto" w:hAnsi="Roboto" w:cs="Roboto"/>
                <w:sz w:val="21"/>
                <w:szCs w:val="21"/>
                <w:highlight w:val="white"/>
              </w:rPr>
            </w:pPr>
            <w:r>
              <w:t>Operatorul</w:t>
            </w:r>
            <w:r w:rsidR="00373041" w:rsidRPr="009D4714">
              <w:t xml:space="preserve"> </w:t>
            </w:r>
            <w:r w:rsidR="001F1C00" w:rsidRPr="009D4714">
              <w:t>sistemului</w:t>
            </w:r>
            <w:r w:rsidR="00373041" w:rsidRPr="009D4714">
              <w:t xml:space="preserve"> de</w:t>
            </w:r>
            <w:r w:rsidR="00903E9B" w:rsidRPr="009D4714">
              <w:t xml:space="preserve"> transport a energiei electrice;</w:t>
            </w:r>
          </w:p>
          <w:p w14:paraId="3DB632D4" w14:textId="7C8C7127" w:rsidR="005B6B86" w:rsidRPr="008F23D0" w:rsidRDefault="005B6B86" w:rsidP="00176397">
            <w:pPr>
              <w:numPr>
                <w:ilvl w:val="0"/>
                <w:numId w:val="2"/>
              </w:numPr>
              <w:rPr>
                <w:rFonts w:ascii="Roboto" w:eastAsia="Roboto" w:hAnsi="Roboto" w:cs="Roboto"/>
                <w:sz w:val="21"/>
                <w:szCs w:val="21"/>
              </w:rPr>
            </w:pPr>
            <w:r w:rsidRPr="008F23D0">
              <w:t>Responsabilii grupurilor de echilibrare;</w:t>
            </w:r>
          </w:p>
          <w:p w14:paraId="372AE392" w14:textId="1836D0F6" w:rsidR="00903E9B" w:rsidRPr="005B6B86" w:rsidRDefault="005B6B86" w:rsidP="005B6B86">
            <w:pPr>
              <w:numPr>
                <w:ilvl w:val="0"/>
                <w:numId w:val="2"/>
              </w:numPr>
              <w:rPr>
                <w:rFonts w:ascii="Roboto" w:eastAsia="Roboto" w:hAnsi="Roboto" w:cs="Roboto"/>
                <w:sz w:val="21"/>
                <w:szCs w:val="21"/>
                <w:highlight w:val="white"/>
              </w:rPr>
            </w:pPr>
            <w:r>
              <w:t>Consumatorii finali de energie electrică.</w:t>
            </w:r>
          </w:p>
        </w:tc>
      </w:tr>
      <w:tr w:rsidR="00741206" w:rsidRPr="009D4714" w14:paraId="0EB9D972"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92259D" w14:textId="77777777" w:rsidR="00FB609F" w:rsidRPr="009D4714" w:rsidRDefault="00F62480" w:rsidP="00176397">
            <w:r w:rsidRPr="009D4714">
              <w:rPr>
                <w:b/>
                <w:i/>
              </w:rPr>
              <w:t>b) Explica</w:t>
            </w:r>
            <w:r w:rsidR="00176397" w:rsidRPr="009D4714">
              <w:rPr>
                <w:b/>
                <w:i/>
              </w:rPr>
              <w:t>ț</w:t>
            </w:r>
            <w:r w:rsidRPr="009D4714">
              <w:rPr>
                <w:b/>
                <w:i/>
              </w:rPr>
              <w:t>i succint cum (prin ce metode) s-a asigurat consultarea adecvată a păr</w:t>
            </w:r>
            <w:r w:rsidR="00176397" w:rsidRPr="009D4714">
              <w:rPr>
                <w:b/>
                <w:i/>
              </w:rPr>
              <w:t>ț</w:t>
            </w:r>
            <w:r w:rsidRPr="009D4714">
              <w:rPr>
                <w:b/>
                <w:i/>
              </w:rPr>
              <w:t>ilor</w:t>
            </w:r>
          </w:p>
        </w:tc>
      </w:tr>
      <w:tr w:rsidR="00FB609F" w:rsidRPr="009D4714" w14:paraId="2F0E56B9" w14:textId="7777777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02C83F5" w14:textId="173486AA" w:rsidR="004375E0" w:rsidRDefault="00B9631F" w:rsidP="00B9631F">
            <w:pPr>
              <w:ind w:firstLine="573"/>
              <w:jc w:val="both"/>
              <w:rPr>
                <w:bCs/>
              </w:rPr>
            </w:pPr>
            <w:r w:rsidRPr="00B9631F">
              <w:rPr>
                <w:bCs/>
              </w:rPr>
              <w:t>Referitor la oportunitatea aprobării de către ANRE a proiectului de hotărâre</w:t>
            </w:r>
            <w:r w:rsidRPr="00B9631F">
              <w:rPr>
                <w:bCs/>
                <w:iCs/>
              </w:rPr>
              <w:t xml:space="preserve"> cu privire la modificarea</w:t>
            </w:r>
            <w:r>
              <w:rPr>
                <w:bCs/>
                <w:iCs/>
              </w:rPr>
              <w:t xml:space="preserve"> </w:t>
            </w:r>
            <w:r w:rsidRPr="009D4714">
              <w:t>Regulilor pieței energiei electrice</w:t>
            </w:r>
            <w:r>
              <w:rPr>
                <w:bCs/>
                <w:iCs/>
              </w:rPr>
              <w:t xml:space="preserve"> aprobate prin Hotărârea </w:t>
            </w:r>
            <w:r w:rsidRPr="005E652C">
              <w:t>Consiliului de administrați</w:t>
            </w:r>
            <w:r>
              <w:t>e al ANRE nr.283/2020 din 07.08.2020,</w:t>
            </w:r>
            <w:r w:rsidRPr="005E652C">
              <w:t xml:space="preserve"> Agenția a </w:t>
            </w:r>
            <w:r w:rsidRPr="005E652C">
              <w:rPr>
                <w:bCs/>
              </w:rPr>
              <w:t>demarat procesul de consultare cu părțile interesate, plasând pe p</w:t>
            </w:r>
            <w:r>
              <w:rPr>
                <w:bCs/>
              </w:rPr>
              <w:t>agina web oficială,</w:t>
            </w:r>
            <w:r w:rsidRPr="005E652C">
              <w:rPr>
                <w:bCs/>
              </w:rPr>
              <w:t xml:space="preserve"> la rubrica </w:t>
            </w:r>
            <w:r>
              <w:rPr>
                <w:bCs/>
              </w:rPr>
              <w:t>(</w:t>
            </w:r>
            <w:r w:rsidRPr="005E652C">
              <w:rPr>
                <w:bCs/>
              </w:rPr>
              <w:t>Transparența decizională/Proiecte supuse consultării publice</w:t>
            </w:r>
            <w:r>
              <w:rPr>
                <w:bCs/>
              </w:rPr>
              <w:t>)</w:t>
            </w:r>
            <w:r w:rsidRPr="005E652C">
              <w:rPr>
                <w:bCs/>
              </w:rPr>
              <w:t xml:space="preserve"> proiectul de hotărâre, Analiza Impactului de Reglementare și Nota informativă  </w:t>
            </w:r>
            <w:r w:rsidRPr="005E652C">
              <w:t xml:space="preserve">pentru a fi consultate cu părțile interesate în conformitate cu Legea nr. 239/2008 privind transparența în procesul decizional şi Legea nr. 100/2017 privind actele normative, </w:t>
            </w:r>
            <w:r w:rsidRPr="005E652C">
              <w:rPr>
                <w:bCs/>
              </w:rPr>
              <w:t>astfel încât orice persoană interesată să aibă  posibilitatea de a accesa documentele respective și de a prezenta propuneri și obiecții pe marginea lor, inclusiv prin poșta electronică, la adresa electronica indicată în anunț.</w:t>
            </w:r>
          </w:p>
          <w:p w14:paraId="551EDA55" w14:textId="1DCE0C86" w:rsidR="004375E0" w:rsidRDefault="004375E0" w:rsidP="00B9631F">
            <w:pPr>
              <w:ind w:firstLine="573"/>
              <w:jc w:val="both"/>
              <w:rPr>
                <w:bCs/>
              </w:rPr>
            </w:pPr>
            <w:r>
              <w:rPr>
                <w:bCs/>
              </w:rPr>
              <w:t xml:space="preserve">În acest context, Agenția a anunțat despre </w:t>
            </w:r>
            <w:r w:rsidRPr="004375E0">
              <w:rPr>
                <w:bCs/>
              </w:rPr>
              <w:t>consultarea Analizei Impactului de Reglementare şi proiectului de hotărâre cu privire la modificarea</w:t>
            </w:r>
            <w:r>
              <w:rPr>
                <w:bCs/>
              </w:rPr>
              <w:t xml:space="preserve"> </w:t>
            </w:r>
            <w:r w:rsidRPr="004375E0">
              <w:rPr>
                <w:bCs/>
              </w:rPr>
              <w:t>Regulilor pieței energiei electrice</w:t>
            </w:r>
            <w:r>
              <w:rPr>
                <w:bCs/>
              </w:rPr>
              <w:t xml:space="preserve"> atât participanții </w:t>
            </w:r>
            <w:r w:rsidR="0013589A">
              <w:rPr>
                <w:bCs/>
              </w:rPr>
              <w:t>piețe</w:t>
            </w:r>
            <w:r>
              <w:rPr>
                <w:bCs/>
              </w:rPr>
              <w:t xml:space="preserve">i energiei electrice </w:t>
            </w:r>
            <w:r w:rsidR="0013589A">
              <w:rPr>
                <w:bCs/>
              </w:rPr>
              <w:t xml:space="preserve">cât și Ministerul Energiei, </w:t>
            </w:r>
            <w:r w:rsidR="0013589A" w:rsidRPr="0013589A">
              <w:rPr>
                <w:bCs/>
              </w:rPr>
              <w:t>Consiliul Concurenței</w:t>
            </w:r>
            <w:r w:rsidR="0013589A">
              <w:rPr>
                <w:bCs/>
              </w:rPr>
              <w:t xml:space="preserve">, </w:t>
            </w:r>
            <w:r w:rsidR="0013589A" w:rsidRPr="005E652C">
              <w:t xml:space="preserve">Asociația consumatorilor de energie electrică, </w:t>
            </w:r>
            <w:r w:rsidR="0013589A" w:rsidRPr="005E652C">
              <w:rPr>
                <w:bCs/>
              </w:rPr>
              <w:t>Confederația Națională a Patronatului, Federația CONDRUMAT, Confederația Națională a Sindicatelor din Moldova</w:t>
            </w:r>
            <w:r w:rsidR="0013589A">
              <w:rPr>
                <w:bCs/>
              </w:rPr>
              <w:t>.</w:t>
            </w:r>
          </w:p>
          <w:p w14:paraId="0343A63D" w14:textId="77723317" w:rsidR="0013589A" w:rsidRDefault="0013589A" w:rsidP="00B9631F">
            <w:pPr>
              <w:ind w:firstLine="573"/>
              <w:jc w:val="both"/>
              <w:rPr>
                <w:bCs/>
              </w:rPr>
            </w:pPr>
            <w:r>
              <w:rPr>
                <w:bCs/>
              </w:rPr>
              <w:t xml:space="preserve">Toate obiecțiile și propunerile expediate în adresa Agenției au fost examinate și luate în considerare la </w:t>
            </w:r>
            <w:r w:rsidRPr="005E652C">
              <w:rPr>
                <w:bCs/>
              </w:rPr>
              <w:t>îmbunătățirea proiectului de hotărâre dat.</w:t>
            </w:r>
          </w:p>
          <w:p w14:paraId="731EE087" w14:textId="70A4ABEA" w:rsidR="005F157C" w:rsidRPr="001A23A9" w:rsidRDefault="007B2370" w:rsidP="00B9631F">
            <w:pPr>
              <w:ind w:firstLine="573"/>
              <w:jc w:val="both"/>
              <w:rPr>
                <w:bCs/>
              </w:rPr>
            </w:pPr>
            <w:r w:rsidRPr="001A23A9">
              <w:rPr>
                <w:bCs/>
              </w:rPr>
              <w:t xml:space="preserve">Referitor la proiectul de modificare a Regulilor pieței energiei electrice, de către Agenție au fost recepționate </w:t>
            </w:r>
            <w:r w:rsidR="00244406" w:rsidRPr="001A23A9">
              <w:rPr>
                <w:bCs/>
              </w:rPr>
              <w:t>125</w:t>
            </w:r>
            <w:r w:rsidRPr="001A23A9">
              <w:rPr>
                <w:bCs/>
              </w:rPr>
              <w:t xml:space="preserve"> de propuneri din partea părților interesate. În </w:t>
            </w:r>
            <w:r w:rsidR="005D3887" w:rsidRPr="001A23A9">
              <w:rPr>
                <w:bCs/>
              </w:rPr>
              <w:t xml:space="preserve">cadrul ședințelor organizate (mai mult de 10 ședințe) au fost puse în </w:t>
            </w:r>
            <w:r w:rsidRPr="001A23A9">
              <w:rPr>
                <w:bCs/>
              </w:rPr>
              <w:t>discuți</w:t>
            </w:r>
            <w:r w:rsidR="005D3887" w:rsidRPr="001A23A9">
              <w:rPr>
                <w:bCs/>
              </w:rPr>
              <w:t xml:space="preserve">e propunerile și obiecțiile pe marginea proiectului menționat, iar ca rezultat au </w:t>
            </w:r>
            <w:r w:rsidR="0091739E" w:rsidRPr="001A23A9">
              <w:rPr>
                <w:bCs/>
              </w:rPr>
              <w:t>fost ac</w:t>
            </w:r>
            <w:bookmarkStart w:id="0" w:name="_GoBack"/>
            <w:bookmarkEnd w:id="0"/>
            <w:r w:rsidR="0091739E" w:rsidRPr="001A23A9">
              <w:rPr>
                <w:bCs/>
              </w:rPr>
              <w:t>ceptate</w:t>
            </w:r>
            <w:r w:rsidR="00817885" w:rsidRPr="001A23A9">
              <w:rPr>
                <w:bCs/>
              </w:rPr>
              <w:t xml:space="preserve"> </w:t>
            </w:r>
            <w:r w:rsidR="00244406" w:rsidRPr="001A23A9">
              <w:rPr>
                <w:bCs/>
              </w:rPr>
              <w:t>76</w:t>
            </w:r>
            <w:r w:rsidR="00817885" w:rsidRPr="001A23A9">
              <w:rPr>
                <w:bCs/>
              </w:rPr>
              <w:t xml:space="preserve"> dintre acestea</w:t>
            </w:r>
            <w:r w:rsidR="0091739E" w:rsidRPr="001A23A9">
              <w:rPr>
                <w:bCs/>
              </w:rPr>
              <w:t>, fiind incluse în tabelul de sinteză a propunerilor și obiecțiilor la proiectul de modificare a actului normativ dat, acest tabel la rândul său a fost plasat pe pagina oficială a Agenției.</w:t>
            </w:r>
            <w:r w:rsidR="005D3887" w:rsidRPr="001A23A9">
              <w:rPr>
                <w:bCs/>
              </w:rPr>
              <w:t xml:space="preserve"> </w:t>
            </w:r>
            <w:r w:rsidRPr="001A23A9">
              <w:rPr>
                <w:bCs/>
              </w:rPr>
              <w:t xml:space="preserve"> </w:t>
            </w:r>
            <w:r w:rsidR="005F157C" w:rsidRPr="001A23A9">
              <w:rPr>
                <w:bCs/>
              </w:rPr>
              <w:t xml:space="preserve">  </w:t>
            </w:r>
          </w:p>
          <w:p w14:paraId="0C1C26EF" w14:textId="21512967" w:rsidR="000255A9" w:rsidRPr="009D4714" w:rsidRDefault="00B9631F" w:rsidP="00B9631F">
            <w:pPr>
              <w:ind w:firstLine="573"/>
              <w:jc w:val="both"/>
            </w:pPr>
            <w:r w:rsidRPr="005E652C">
              <w:rPr>
                <w:bCs/>
              </w:rPr>
              <w:t xml:space="preserve"> </w:t>
            </w:r>
          </w:p>
        </w:tc>
      </w:tr>
      <w:tr w:rsidR="00FB609F" w:rsidRPr="009D4714" w14:paraId="2D836BE2" w14:textId="77777777" w:rsidTr="007920FA">
        <w:tc>
          <w:tcPr>
            <w:tcW w:w="9640" w:type="dxa"/>
            <w:tcBorders>
              <w:top w:val="single" w:sz="6" w:space="0" w:color="C1C7CD"/>
              <w:left w:val="single" w:sz="4" w:space="0" w:color="C1C7CD"/>
              <w:bottom w:val="single" w:sz="6" w:space="0" w:color="C1C7CD"/>
              <w:right w:val="single" w:sz="4" w:space="0" w:color="C1C7CD"/>
            </w:tcBorders>
            <w:tcMar>
              <w:top w:w="75" w:type="dxa"/>
              <w:left w:w="120" w:type="dxa"/>
              <w:bottom w:w="75" w:type="dxa"/>
              <w:right w:w="120" w:type="dxa"/>
            </w:tcMar>
          </w:tcPr>
          <w:p w14:paraId="5421BE03" w14:textId="77777777" w:rsidR="00FB609F" w:rsidRPr="009D4714" w:rsidRDefault="00F62480" w:rsidP="00176397">
            <w:r w:rsidRPr="009D4714">
              <w:rPr>
                <w:b/>
                <w:i/>
              </w:rPr>
              <w:t>c) Expune</w:t>
            </w:r>
            <w:r w:rsidR="00176397" w:rsidRPr="009D4714">
              <w:rPr>
                <w:b/>
                <w:i/>
              </w:rPr>
              <w:t>ț</w:t>
            </w:r>
            <w:r w:rsidRPr="009D4714">
              <w:rPr>
                <w:b/>
                <w:i/>
              </w:rPr>
              <w:t>i succint pozi</w:t>
            </w:r>
            <w:r w:rsidR="00176397" w:rsidRPr="009D4714">
              <w:rPr>
                <w:b/>
                <w:i/>
              </w:rPr>
              <w:t>ț</w:t>
            </w:r>
            <w:r w:rsidRPr="009D4714">
              <w:rPr>
                <w:b/>
                <w:i/>
              </w:rPr>
              <w:t>ia fiecărei entită</w:t>
            </w:r>
            <w:r w:rsidR="00176397" w:rsidRPr="009D4714">
              <w:rPr>
                <w:b/>
                <w:i/>
              </w:rPr>
              <w:t>ț</w:t>
            </w:r>
            <w:r w:rsidRPr="009D4714">
              <w:rPr>
                <w:b/>
                <w:i/>
              </w:rPr>
              <w:t>i consultate fa</w:t>
            </w:r>
            <w:r w:rsidR="00176397" w:rsidRPr="009D4714">
              <w:rPr>
                <w:b/>
                <w:i/>
              </w:rPr>
              <w:t>ț</w:t>
            </w:r>
            <w:r w:rsidRPr="009D4714">
              <w:rPr>
                <w:b/>
                <w:i/>
              </w:rPr>
              <w:t xml:space="preserve">ă de documentul de analiză a impactului </w:t>
            </w:r>
            <w:r w:rsidR="00176397" w:rsidRPr="009D4714">
              <w:rPr>
                <w:b/>
                <w:i/>
              </w:rPr>
              <w:t>ș</w:t>
            </w:r>
            <w:r w:rsidR="00675F58" w:rsidRPr="009D4714">
              <w:rPr>
                <w:b/>
                <w:i/>
              </w:rPr>
              <w:t>i</w:t>
            </w:r>
            <w:r w:rsidRPr="009D4714">
              <w:rPr>
                <w:b/>
                <w:i/>
              </w:rPr>
              <w:t>/sau interven</w:t>
            </w:r>
            <w:r w:rsidR="00176397" w:rsidRPr="009D4714">
              <w:rPr>
                <w:b/>
                <w:i/>
              </w:rPr>
              <w:t>ț</w:t>
            </w:r>
            <w:r w:rsidRPr="009D4714">
              <w:rPr>
                <w:b/>
                <w:i/>
              </w:rPr>
              <w:t>ia propusă (se expune pozi</w:t>
            </w:r>
            <w:r w:rsidR="00176397" w:rsidRPr="009D4714">
              <w:rPr>
                <w:b/>
                <w:i/>
              </w:rPr>
              <w:t>ț</w:t>
            </w:r>
            <w:r w:rsidRPr="009D4714">
              <w:rPr>
                <w:b/>
                <w:i/>
              </w:rPr>
              <w:t>ia a cel pu</w:t>
            </w:r>
            <w:r w:rsidR="00176397" w:rsidRPr="009D4714">
              <w:rPr>
                <w:b/>
                <w:i/>
              </w:rPr>
              <w:t>ț</w:t>
            </w:r>
            <w:r w:rsidRPr="009D4714">
              <w:rPr>
                <w:b/>
                <w:i/>
              </w:rPr>
              <w:t>in unui exponent din fiecare grup de interese identificat)</w:t>
            </w:r>
          </w:p>
        </w:tc>
      </w:tr>
      <w:tr w:rsidR="002A4158" w:rsidRPr="009D4714" w14:paraId="39D07E27" w14:textId="77777777" w:rsidTr="007920FA">
        <w:tc>
          <w:tcPr>
            <w:tcW w:w="9640" w:type="dxa"/>
            <w:tcBorders>
              <w:top w:val="single" w:sz="6" w:space="0" w:color="C1C7CD"/>
              <w:left w:val="single" w:sz="4" w:space="0" w:color="C1C7CD"/>
              <w:bottom w:val="single" w:sz="4" w:space="0" w:color="C1C7CD"/>
              <w:right w:val="single" w:sz="4" w:space="0" w:color="C1C7CD"/>
            </w:tcBorders>
            <w:shd w:val="clear" w:color="auto" w:fill="FFFFFF"/>
            <w:tcMar>
              <w:top w:w="75" w:type="dxa"/>
              <w:left w:w="120" w:type="dxa"/>
              <w:bottom w:w="75" w:type="dxa"/>
              <w:right w:w="120" w:type="dxa"/>
            </w:tcMar>
          </w:tcPr>
          <w:p w14:paraId="4618721C" w14:textId="5FF012EB" w:rsidR="00F474A1" w:rsidRDefault="0044267F" w:rsidP="00A17C8E">
            <w:pPr>
              <w:jc w:val="both"/>
            </w:pPr>
            <w:r>
              <w:t xml:space="preserve">     </w:t>
            </w:r>
            <w:r w:rsidR="00473D1A">
              <w:t>•</w:t>
            </w:r>
            <w:r>
              <w:t xml:space="preserve">    </w:t>
            </w:r>
            <w:r w:rsidR="00A17C8E">
              <w:t>Confederația Națională a Sindicatelor din Moldova  a anunțat despre lipsa propunerilor  și obiecțiilor la proiectul de modificare a actului normativ.</w:t>
            </w:r>
          </w:p>
          <w:p w14:paraId="044C7409" w14:textId="77777777" w:rsidR="00A17C8E" w:rsidRDefault="00A17C8E" w:rsidP="00A17C8E">
            <w:pPr>
              <w:jc w:val="both"/>
            </w:pPr>
          </w:p>
          <w:p w14:paraId="48CFC7B4" w14:textId="3AB59E9F" w:rsidR="005F6E55" w:rsidRDefault="005F6E55" w:rsidP="005F6E55">
            <w:pPr>
              <w:jc w:val="both"/>
              <w:rPr>
                <w:bCs/>
              </w:rPr>
            </w:pPr>
            <w:r>
              <w:t xml:space="preserve">       </w:t>
            </w:r>
            <w:r w:rsidR="00473D1A">
              <w:t xml:space="preserve">• </w:t>
            </w:r>
            <w:r>
              <w:t>Din partea „</w:t>
            </w:r>
            <w:proofErr w:type="spellStart"/>
            <w:r w:rsidRPr="008C2203">
              <w:rPr>
                <w:bCs/>
              </w:rPr>
              <w:t>N</w:t>
            </w:r>
            <w:r w:rsidR="000277AC">
              <w:rPr>
                <w:bCs/>
              </w:rPr>
              <w:t>avitas</w:t>
            </w:r>
            <w:proofErr w:type="spellEnd"/>
            <w:r w:rsidRPr="008C2203">
              <w:rPr>
                <w:bCs/>
              </w:rPr>
              <w:t xml:space="preserve"> Energy” S</w:t>
            </w:r>
            <w:r>
              <w:rPr>
                <w:bCs/>
              </w:rPr>
              <w:t>.</w:t>
            </w:r>
            <w:r w:rsidRPr="008C2203">
              <w:rPr>
                <w:bCs/>
              </w:rPr>
              <w:t>R</w:t>
            </w:r>
            <w:r>
              <w:rPr>
                <w:bCs/>
              </w:rPr>
              <w:t>.</w:t>
            </w:r>
            <w:r w:rsidRPr="008C2203">
              <w:rPr>
                <w:bCs/>
              </w:rPr>
              <w:t>L</w:t>
            </w:r>
            <w:r>
              <w:rPr>
                <w:bCs/>
              </w:rPr>
              <w:t>. au fost recepționate 10 propuneri dintre care au</w:t>
            </w:r>
            <w:r w:rsidR="000277AC">
              <w:rPr>
                <w:bCs/>
              </w:rPr>
              <w:t xml:space="preserve"> fost</w:t>
            </w:r>
            <w:r>
              <w:rPr>
                <w:bCs/>
              </w:rPr>
              <w:t xml:space="preserve"> acceptate 2.</w:t>
            </w:r>
          </w:p>
          <w:p w14:paraId="76EFE3B1" w14:textId="77777777" w:rsidR="006A1C2F" w:rsidRDefault="005F6E55" w:rsidP="00B63DE8">
            <w:pPr>
              <w:jc w:val="both"/>
              <w:rPr>
                <w:bCs/>
                <w:i/>
              </w:rPr>
            </w:pPr>
            <w:r>
              <w:rPr>
                <w:bCs/>
              </w:rPr>
              <w:t xml:space="preserve">       A fost propus de a </w:t>
            </w:r>
            <w:r w:rsidR="00B63DE8">
              <w:rPr>
                <w:bCs/>
              </w:rPr>
              <w:t xml:space="preserve">introduce  în actul normativ prevederea referitor la informația publică privind </w:t>
            </w:r>
            <w:r w:rsidR="00B63DE8" w:rsidRPr="007379E9">
              <w:rPr>
                <w:bCs/>
              </w:rPr>
              <w:t>sancțiunile aplicate participanților pieței energiei electrice care au încălcat Reguli</w:t>
            </w:r>
            <w:r w:rsidR="00B63DE8">
              <w:rPr>
                <w:bCs/>
              </w:rPr>
              <w:t xml:space="preserve">le pieței energiei electrice </w:t>
            </w:r>
            <w:r w:rsidR="006A1C2F">
              <w:rPr>
                <w:bCs/>
              </w:rPr>
              <w:t>–</w:t>
            </w:r>
            <w:r w:rsidR="00B63DE8">
              <w:rPr>
                <w:bCs/>
              </w:rPr>
              <w:t xml:space="preserve"> </w:t>
            </w:r>
            <w:r w:rsidR="006A1C2F" w:rsidRPr="000277AC">
              <w:rPr>
                <w:bCs/>
                <w:i/>
              </w:rPr>
              <w:t>fiind acceptată</w:t>
            </w:r>
            <w:r w:rsidR="006A1C2F">
              <w:rPr>
                <w:bCs/>
                <w:i/>
              </w:rPr>
              <w:t>.</w:t>
            </w:r>
          </w:p>
          <w:p w14:paraId="3380E602" w14:textId="6D3DA4D7" w:rsidR="006A1C2F" w:rsidRDefault="006A1C2F" w:rsidP="00473D1A">
            <w:pPr>
              <w:jc w:val="both"/>
              <w:rPr>
                <w:bCs/>
              </w:rPr>
            </w:pPr>
            <w:r>
              <w:rPr>
                <w:bCs/>
              </w:rPr>
              <w:t xml:space="preserve">       </w:t>
            </w:r>
            <w:r w:rsidR="00473D1A">
              <w:rPr>
                <w:bCs/>
              </w:rPr>
              <w:t xml:space="preserve">Altă propunere prevede că un </w:t>
            </w:r>
            <w:r w:rsidR="00473D1A" w:rsidRPr="008C2203">
              <w:rPr>
                <w:bCs/>
              </w:rPr>
              <w:t>participant al pieței n</w:t>
            </w:r>
            <w:r w:rsidR="000277AC">
              <w:rPr>
                <w:bCs/>
              </w:rPr>
              <w:t>u</w:t>
            </w:r>
            <w:r w:rsidR="00473D1A" w:rsidRPr="008C2203">
              <w:rPr>
                <w:bCs/>
              </w:rPr>
              <w:t xml:space="preserve"> poate transmite responsabilitate pentru echilibrare unei alte părți responsabile de echilibrare, atâta timp cât nu su</w:t>
            </w:r>
            <w:r w:rsidR="00473D1A">
              <w:rPr>
                <w:bCs/>
              </w:rPr>
              <w:t>n</w:t>
            </w:r>
            <w:r w:rsidR="00473D1A" w:rsidRPr="008C2203">
              <w:rPr>
                <w:bCs/>
              </w:rPr>
              <w:t>t stinse  decontări reciproce între ele</w:t>
            </w:r>
            <w:r w:rsidR="00473D1A">
              <w:rPr>
                <w:bCs/>
              </w:rPr>
              <w:t xml:space="preserve"> – </w:t>
            </w:r>
            <w:r w:rsidR="00473D1A" w:rsidRPr="000277AC">
              <w:rPr>
                <w:bCs/>
                <w:i/>
              </w:rPr>
              <w:t>ce nu a fost acceptat</w:t>
            </w:r>
            <w:r w:rsidR="00473D1A">
              <w:rPr>
                <w:bCs/>
              </w:rPr>
              <w:t>, deoarece î</w:t>
            </w:r>
            <w:r w:rsidR="00473D1A" w:rsidRPr="008C2203">
              <w:rPr>
                <w:bCs/>
              </w:rPr>
              <w:t>n con</w:t>
            </w:r>
            <w:r w:rsidR="000277AC">
              <w:rPr>
                <w:bCs/>
              </w:rPr>
              <w:t>formitate cu pct. 417 din RPEE f</w:t>
            </w:r>
            <w:r w:rsidR="00473D1A" w:rsidRPr="008C2203">
              <w:rPr>
                <w:bCs/>
              </w:rPr>
              <w:t>iecare PRE este obligată să furnizeze garanții financiare conform prevederilor</w:t>
            </w:r>
            <w:r w:rsidR="00473D1A">
              <w:rPr>
                <w:bCs/>
              </w:rPr>
              <w:t xml:space="preserve"> actului normativ în vigoare. </w:t>
            </w:r>
            <w:r w:rsidR="00473D1A" w:rsidRPr="008C2203">
              <w:rPr>
                <w:bCs/>
              </w:rPr>
              <w:t>Astfel, în cazul în care partea care și-a transferat responsabilitatea către alt PRE nu își onorează obligațiunile sale, poate fi aplicat mecanismul de utilizare a garanției financiare depuse de aceasta</w:t>
            </w:r>
            <w:r w:rsidR="00473D1A">
              <w:rPr>
                <w:bCs/>
              </w:rPr>
              <w:t>.</w:t>
            </w:r>
          </w:p>
          <w:p w14:paraId="60ACB2A0" w14:textId="0CB0DB1E" w:rsidR="00473D1A" w:rsidRDefault="00473D1A" w:rsidP="00473D1A">
            <w:pPr>
              <w:jc w:val="both"/>
              <w:rPr>
                <w:bCs/>
              </w:rPr>
            </w:pPr>
          </w:p>
          <w:p w14:paraId="77D2D4C7" w14:textId="7118922E" w:rsidR="00473D1A" w:rsidRDefault="00473D1A" w:rsidP="00473D1A">
            <w:pPr>
              <w:jc w:val="both"/>
              <w:rPr>
                <w:bCs/>
              </w:rPr>
            </w:pPr>
            <w:r>
              <w:rPr>
                <w:bCs/>
              </w:rPr>
              <w:t xml:space="preserve">    •  </w:t>
            </w:r>
            <w:r w:rsidRPr="00473D1A">
              <w:rPr>
                <w:bCs/>
              </w:rPr>
              <w:t>Î.S. „Moldelectrica”</w:t>
            </w:r>
            <w:r>
              <w:rPr>
                <w:bCs/>
              </w:rPr>
              <w:t xml:space="preserve"> a prezentat 3</w:t>
            </w:r>
            <w:r w:rsidR="009D01CF">
              <w:rPr>
                <w:bCs/>
              </w:rPr>
              <w:t>8</w:t>
            </w:r>
            <w:r>
              <w:rPr>
                <w:bCs/>
              </w:rPr>
              <w:t xml:space="preserve"> de propuneri dintre care </w:t>
            </w:r>
            <w:r w:rsidR="009D01CF">
              <w:rPr>
                <w:bCs/>
              </w:rPr>
              <w:t>31</w:t>
            </w:r>
            <w:r>
              <w:rPr>
                <w:bCs/>
              </w:rPr>
              <w:t xml:space="preserve"> au fost acceptate.</w:t>
            </w:r>
          </w:p>
          <w:p w14:paraId="07B2061D" w14:textId="03A4DF50" w:rsidR="00A22244" w:rsidRDefault="00A22244" w:rsidP="00473D1A">
            <w:pPr>
              <w:jc w:val="both"/>
              <w:rPr>
                <w:bCs/>
              </w:rPr>
            </w:pPr>
            <w:r>
              <w:rPr>
                <w:bCs/>
              </w:rPr>
              <w:t xml:space="preserve">Una din propuneri a fost excluderea publicării de către OST a informației referitor la datele lunare </w:t>
            </w:r>
          </w:p>
          <w:p w14:paraId="31F790E0" w14:textId="0C545B4E" w:rsidR="00473D1A" w:rsidRDefault="00A22244" w:rsidP="00473D1A">
            <w:pPr>
              <w:jc w:val="both"/>
              <w:rPr>
                <w:bCs/>
              </w:rPr>
            </w:pPr>
            <w:r w:rsidRPr="00A22244">
              <w:rPr>
                <w:bCs/>
              </w:rPr>
              <w:t>privind energia electrică furnizată de fiecare furnizor și cumulativ</w:t>
            </w:r>
            <w:r>
              <w:rPr>
                <w:bCs/>
              </w:rPr>
              <w:t xml:space="preserve"> – care nu a fost acceptată, </w:t>
            </w:r>
            <w:r w:rsidR="00BE24A9">
              <w:rPr>
                <w:bCs/>
              </w:rPr>
              <w:t>deoarece ar diminua transparența privind informația referitor la</w:t>
            </w:r>
            <w:r w:rsidR="00BE24A9" w:rsidRPr="00BE24A9">
              <w:rPr>
                <w:bCs/>
              </w:rPr>
              <w:t xml:space="preserve"> bilanțul și intrările de energie electrică</w:t>
            </w:r>
            <w:r w:rsidR="00BE24A9">
              <w:rPr>
                <w:bCs/>
              </w:rPr>
              <w:t>.</w:t>
            </w:r>
          </w:p>
          <w:p w14:paraId="1B3F645A" w14:textId="32380E86" w:rsidR="00BE24A9" w:rsidRDefault="00BE24A9" w:rsidP="00473D1A">
            <w:pPr>
              <w:jc w:val="both"/>
              <w:rPr>
                <w:bCs/>
              </w:rPr>
            </w:pPr>
          </w:p>
          <w:p w14:paraId="2B91FBC1" w14:textId="1523A9D9" w:rsidR="00BE24A9" w:rsidRDefault="001F7E6E" w:rsidP="00473D1A">
            <w:pPr>
              <w:jc w:val="both"/>
              <w:rPr>
                <w:bCs/>
              </w:rPr>
            </w:pPr>
            <w:r>
              <w:rPr>
                <w:bCs/>
              </w:rPr>
              <w:t xml:space="preserve">     •  </w:t>
            </w:r>
            <w:r w:rsidRPr="001F7E6E">
              <w:rPr>
                <w:bCs/>
              </w:rPr>
              <w:t>S.A. „RED Nord</w:t>
            </w:r>
            <w:r>
              <w:rPr>
                <w:bCs/>
              </w:rPr>
              <w:t xml:space="preserve"> a prezentat doar o propunere </w:t>
            </w:r>
            <w:r w:rsidR="004705B8">
              <w:rPr>
                <w:bCs/>
              </w:rPr>
              <w:t xml:space="preserve">de a utiliza în prevederile Regulilor pieței </w:t>
            </w:r>
            <w:r w:rsidR="004705B8" w:rsidRPr="004705B8">
              <w:rPr>
                <w:bCs/>
              </w:rPr>
              <w:t xml:space="preserve">energiei electrice </w:t>
            </w:r>
            <w:r w:rsidR="004705B8">
              <w:rPr>
                <w:bCs/>
              </w:rPr>
              <w:t xml:space="preserve">ca timp de referință ora CET </w:t>
            </w:r>
            <w:r w:rsidR="004705B8" w:rsidRPr="004705B8">
              <w:rPr>
                <w:bCs/>
              </w:rPr>
              <w:t>(</w:t>
            </w:r>
            <w:r w:rsidR="004705B8" w:rsidRPr="00BB2E63">
              <w:rPr>
                <w:color w:val="202124"/>
                <w:shd w:val="clear" w:color="auto" w:fill="FFFFFF"/>
              </w:rPr>
              <w:t>Central European Time)</w:t>
            </w:r>
            <w:r w:rsidR="004705B8">
              <w:rPr>
                <w:color w:val="202124"/>
                <w:shd w:val="clear" w:color="auto" w:fill="FFFFFF"/>
              </w:rPr>
              <w:t xml:space="preserve"> – ce nu a fost acceptat</w:t>
            </w:r>
            <w:r w:rsidR="00BB2E63">
              <w:rPr>
                <w:color w:val="202124"/>
                <w:shd w:val="clear" w:color="auto" w:fill="FFFFFF"/>
              </w:rPr>
              <w:t>ă</w:t>
            </w:r>
            <w:r w:rsidR="004705B8">
              <w:rPr>
                <w:color w:val="202124"/>
                <w:shd w:val="clear" w:color="auto" w:fill="FFFFFF"/>
              </w:rPr>
              <w:t xml:space="preserve">, deoarece </w:t>
            </w:r>
            <w:r w:rsidR="004705B8" w:rsidRPr="008C2203">
              <w:rPr>
                <w:bCs/>
              </w:rPr>
              <w:t>participanții la piață urmează să prezinte către OST notificările respective în conformitate cu ora națională (locală).</w:t>
            </w:r>
          </w:p>
          <w:p w14:paraId="242460C6" w14:textId="77777777" w:rsidR="00473D1A" w:rsidRDefault="00473D1A" w:rsidP="00473D1A">
            <w:pPr>
              <w:jc w:val="both"/>
              <w:rPr>
                <w:bCs/>
              </w:rPr>
            </w:pPr>
          </w:p>
          <w:p w14:paraId="1E43BA68" w14:textId="49F81AEB" w:rsidR="005314AA" w:rsidRDefault="006A1C2F" w:rsidP="005314AA">
            <w:pPr>
              <w:jc w:val="both"/>
              <w:rPr>
                <w:bCs/>
              </w:rPr>
            </w:pPr>
            <w:r>
              <w:rPr>
                <w:bCs/>
              </w:rPr>
              <w:t xml:space="preserve">      </w:t>
            </w:r>
            <w:r w:rsidR="005314AA">
              <w:rPr>
                <w:bCs/>
              </w:rPr>
              <w:t xml:space="preserve">• </w:t>
            </w:r>
            <w:r w:rsidR="005314AA" w:rsidRPr="008C2203">
              <w:rPr>
                <w:bCs/>
              </w:rPr>
              <w:t>S</w:t>
            </w:r>
            <w:r w:rsidR="005314AA">
              <w:rPr>
                <w:bCs/>
              </w:rPr>
              <w:t>.</w:t>
            </w:r>
            <w:r w:rsidR="005314AA" w:rsidRPr="008C2203">
              <w:rPr>
                <w:bCs/>
              </w:rPr>
              <w:t>R</w:t>
            </w:r>
            <w:r w:rsidR="005314AA">
              <w:rPr>
                <w:bCs/>
              </w:rPr>
              <w:t>.</w:t>
            </w:r>
            <w:r w:rsidR="005314AA" w:rsidRPr="008C2203">
              <w:rPr>
                <w:bCs/>
              </w:rPr>
              <w:t>L</w:t>
            </w:r>
            <w:r w:rsidR="005314AA">
              <w:rPr>
                <w:bCs/>
              </w:rPr>
              <w:t>.</w:t>
            </w:r>
            <w:r w:rsidR="005314AA" w:rsidRPr="008C2203">
              <w:rPr>
                <w:bCs/>
              </w:rPr>
              <w:t xml:space="preserve"> „ ML ENERGY-  GROUP”</w:t>
            </w:r>
            <w:r>
              <w:rPr>
                <w:bCs/>
              </w:rPr>
              <w:t xml:space="preserve"> </w:t>
            </w:r>
            <w:r w:rsidR="005314AA" w:rsidRPr="005314AA">
              <w:rPr>
                <w:bCs/>
              </w:rPr>
              <w:t xml:space="preserve">a prezentat </w:t>
            </w:r>
            <w:r w:rsidR="005314AA">
              <w:rPr>
                <w:bCs/>
              </w:rPr>
              <w:t>7</w:t>
            </w:r>
            <w:r w:rsidR="005314AA" w:rsidRPr="005314AA">
              <w:rPr>
                <w:bCs/>
              </w:rPr>
              <w:t xml:space="preserve"> de propuneri dintre care </w:t>
            </w:r>
            <w:r w:rsidR="005314AA">
              <w:rPr>
                <w:bCs/>
              </w:rPr>
              <w:t>5</w:t>
            </w:r>
            <w:r w:rsidR="005314AA" w:rsidRPr="005314AA">
              <w:rPr>
                <w:bCs/>
              </w:rPr>
              <w:t xml:space="preserve"> au fost acceptate</w:t>
            </w:r>
            <w:r w:rsidR="005314AA">
              <w:rPr>
                <w:bCs/>
              </w:rPr>
              <w:t>.</w:t>
            </w:r>
          </w:p>
          <w:p w14:paraId="266EF393" w14:textId="77777777" w:rsidR="005314AA" w:rsidRDefault="005314AA" w:rsidP="005314AA">
            <w:pPr>
              <w:jc w:val="both"/>
              <w:rPr>
                <w:bCs/>
              </w:rPr>
            </w:pPr>
          </w:p>
          <w:p w14:paraId="378C8AFC" w14:textId="1053CC80" w:rsidR="005314AA" w:rsidRDefault="005314AA" w:rsidP="005314AA">
            <w:pPr>
              <w:jc w:val="both"/>
              <w:rPr>
                <w:bCs/>
              </w:rPr>
            </w:pPr>
            <w:r>
              <w:rPr>
                <w:bCs/>
              </w:rPr>
              <w:t xml:space="preserve">      • </w:t>
            </w:r>
            <w:r w:rsidRPr="008C2203">
              <w:rPr>
                <w:bCs/>
              </w:rPr>
              <w:t>S.A. „</w:t>
            </w:r>
            <w:proofErr w:type="spellStart"/>
            <w:r w:rsidRPr="008C2203">
              <w:rPr>
                <w:bCs/>
              </w:rPr>
              <w:t>Energocom</w:t>
            </w:r>
            <w:proofErr w:type="spellEnd"/>
            <w:r w:rsidRPr="008C2203">
              <w:rPr>
                <w:bCs/>
              </w:rPr>
              <w:t>”</w:t>
            </w:r>
            <w:r>
              <w:rPr>
                <w:bCs/>
              </w:rPr>
              <w:t xml:space="preserve"> a prezentat 3</w:t>
            </w:r>
            <w:r w:rsidRPr="005314AA">
              <w:rPr>
                <w:bCs/>
              </w:rPr>
              <w:t xml:space="preserve"> de propuneri dintre care </w:t>
            </w:r>
            <w:r>
              <w:rPr>
                <w:bCs/>
              </w:rPr>
              <w:t>1</w:t>
            </w:r>
            <w:r w:rsidRPr="005314AA">
              <w:rPr>
                <w:bCs/>
              </w:rPr>
              <w:t xml:space="preserve"> a fost acceptat</w:t>
            </w:r>
            <w:r>
              <w:rPr>
                <w:bCs/>
              </w:rPr>
              <w:t>ă.</w:t>
            </w:r>
          </w:p>
          <w:p w14:paraId="454B666E" w14:textId="77777777" w:rsidR="005314AA" w:rsidRDefault="005314AA" w:rsidP="005314AA">
            <w:pPr>
              <w:jc w:val="both"/>
              <w:rPr>
                <w:bCs/>
              </w:rPr>
            </w:pPr>
          </w:p>
          <w:p w14:paraId="58771E88" w14:textId="60686847" w:rsidR="00AF0AEB" w:rsidRDefault="005314AA" w:rsidP="00AF0AEB">
            <w:pPr>
              <w:jc w:val="both"/>
              <w:rPr>
                <w:bCs/>
              </w:rPr>
            </w:pPr>
            <w:r>
              <w:rPr>
                <w:bCs/>
              </w:rPr>
              <w:t xml:space="preserve">      • </w:t>
            </w:r>
            <w:r w:rsidRPr="005314AA">
              <w:rPr>
                <w:bCs/>
              </w:rPr>
              <w:t>Ministerul Energiei</w:t>
            </w:r>
            <w:r>
              <w:rPr>
                <w:bCs/>
              </w:rPr>
              <w:t xml:space="preserve"> </w:t>
            </w:r>
            <w:r w:rsidR="006A1C2F">
              <w:rPr>
                <w:bCs/>
              </w:rPr>
              <w:t xml:space="preserve"> </w:t>
            </w:r>
            <w:r w:rsidR="00AF0AEB" w:rsidRPr="00AF0AEB">
              <w:rPr>
                <w:bCs/>
              </w:rPr>
              <w:t xml:space="preserve">a prezentat </w:t>
            </w:r>
            <w:r w:rsidR="00AF0AEB">
              <w:rPr>
                <w:bCs/>
              </w:rPr>
              <w:t>7</w:t>
            </w:r>
            <w:r w:rsidR="00AF0AEB" w:rsidRPr="00AF0AEB">
              <w:rPr>
                <w:bCs/>
              </w:rPr>
              <w:t xml:space="preserve"> de propuneri dintre care </w:t>
            </w:r>
            <w:r w:rsidR="00AF0AEB">
              <w:rPr>
                <w:bCs/>
              </w:rPr>
              <w:t>5</w:t>
            </w:r>
            <w:r w:rsidR="00AF0AEB" w:rsidRPr="00AF0AEB">
              <w:rPr>
                <w:bCs/>
              </w:rPr>
              <w:t xml:space="preserve"> au fost acceptat</w:t>
            </w:r>
            <w:r w:rsidR="00AF0AEB">
              <w:rPr>
                <w:bCs/>
              </w:rPr>
              <w:t>e</w:t>
            </w:r>
            <w:r w:rsidR="00AF0AEB" w:rsidRPr="00AF0AEB">
              <w:rPr>
                <w:bCs/>
              </w:rPr>
              <w:t>.</w:t>
            </w:r>
          </w:p>
          <w:p w14:paraId="20754902" w14:textId="3734CA74" w:rsidR="009C1A37" w:rsidRDefault="009C1A37" w:rsidP="00AF0AEB">
            <w:pPr>
              <w:jc w:val="both"/>
              <w:rPr>
                <w:bCs/>
              </w:rPr>
            </w:pPr>
          </w:p>
          <w:p w14:paraId="7F479D60" w14:textId="05F38F68" w:rsidR="009C1A37" w:rsidRPr="00AF0AEB" w:rsidRDefault="009C1A37" w:rsidP="00AF0AEB">
            <w:pPr>
              <w:jc w:val="both"/>
              <w:rPr>
                <w:bCs/>
              </w:rPr>
            </w:pPr>
            <w:r>
              <w:rPr>
                <w:bCs/>
              </w:rPr>
              <w:t xml:space="preserve">      • </w:t>
            </w:r>
            <w:r w:rsidRPr="009C1A37">
              <w:rPr>
                <w:bCs/>
              </w:rPr>
              <w:t>Î.C.S. „Premier Energy” S.R.L.</w:t>
            </w:r>
            <w:r>
              <w:rPr>
                <w:bCs/>
              </w:rPr>
              <w:t xml:space="preserve"> </w:t>
            </w:r>
            <w:r w:rsidRPr="009C1A37">
              <w:rPr>
                <w:bCs/>
              </w:rPr>
              <w:t xml:space="preserve">a prezentat </w:t>
            </w:r>
            <w:r w:rsidR="00A957E7">
              <w:rPr>
                <w:bCs/>
              </w:rPr>
              <w:t>23</w:t>
            </w:r>
            <w:r w:rsidRPr="009C1A37">
              <w:rPr>
                <w:bCs/>
              </w:rPr>
              <w:t xml:space="preserve"> de propuneri dintre care </w:t>
            </w:r>
            <w:r w:rsidR="00A957E7">
              <w:rPr>
                <w:bCs/>
              </w:rPr>
              <w:t>1</w:t>
            </w:r>
            <w:r w:rsidRPr="009C1A37">
              <w:rPr>
                <w:bCs/>
              </w:rPr>
              <w:t>5 au fost acceptate.</w:t>
            </w:r>
          </w:p>
          <w:p w14:paraId="721538BF" w14:textId="0EC05FDB" w:rsidR="00CB78D9" w:rsidRDefault="00B63DE8" w:rsidP="00CB78D9">
            <w:pPr>
              <w:jc w:val="both"/>
            </w:pPr>
            <w:r w:rsidRPr="006A1C2F">
              <w:t xml:space="preserve"> </w:t>
            </w:r>
            <w:r w:rsidR="00CB78D9">
              <w:t xml:space="preserve">     A fost propusă includerea unui punct nou pct.721 cu următorul conținut: </w:t>
            </w:r>
          </w:p>
          <w:p w14:paraId="332ED92B" w14:textId="77777777" w:rsidR="00CB78D9" w:rsidRDefault="00CB78D9" w:rsidP="00CB78D9">
            <w:pPr>
              <w:jc w:val="both"/>
            </w:pPr>
          </w:p>
          <w:p w14:paraId="274E221C" w14:textId="75678049" w:rsidR="00CB78D9" w:rsidRDefault="00CB78D9" w:rsidP="00CB78D9">
            <w:pPr>
              <w:jc w:val="both"/>
            </w:pPr>
            <w:r>
              <w:t xml:space="preserve">,,in scopul monitorizării, Agenția va delega reprezentanți care vor asista în cadrul procedurii de licitație "  </w:t>
            </w:r>
            <w:r w:rsidRPr="00BB2E63">
              <w:rPr>
                <w:i/>
              </w:rPr>
              <w:t>nu a fost acceptată</w:t>
            </w:r>
            <w:r>
              <w:t xml:space="preserve"> deoarece </w:t>
            </w:r>
            <w:r>
              <w:rPr>
                <w:bCs/>
              </w:rPr>
              <w:t>î</w:t>
            </w:r>
            <w:r w:rsidRPr="008C2203">
              <w:rPr>
                <w:bCs/>
              </w:rPr>
              <w:t>n conformitate cu pct. 69 din Anexa 1 la RPEE Agenția la necesitate poate solicita și primi toate materialele aferente licitației, în acest sens delegarea unor reprezentanți să participe la licitație nu este argumentată.</w:t>
            </w:r>
          </w:p>
          <w:p w14:paraId="29A07B9C" w14:textId="7EB3CB1D" w:rsidR="005314AA" w:rsidRDefault="005314AA" w:rsidP="005314AA">
            <w:pPr>
              <w:jc w:val="both"/>
            </w:pPr>
          </w:p>
          <w:p w14:paraId="6749E6E0" w14:textId="206260FE" w:rsidR="00B07545" w:rsidRPr="00B07545" w:rsidRDefault="00B07545" w:rsidP="00B07545">
            <w:pPr>
              <w:tabs>
                <w:tab w:val="left" w:pos="426"/>
              </w:tabs>
              <w:jc w:val="both"/>
              <w:rPr>
                <w:bCs/>
              </w:rPr>
            </w:pPr>
            <w:r>
              <w:t xml:space="preserve">      • </w:t>
            </w:r>
            <w:r w:rsidRPr="00B07545">
              <w:rPr>
                <w:bCs/>
              </w:rPr>
              <w:t>Î.C.S. „Premier Energy Distribution” S.A.</w:t>
            </w:r>
            <w:r>
              <w:rPr>
                <w:bCs/>
              </w:rPr>
              <w:t xml:space="preserve"> </w:t>
            </w:r>
            <w:r w:rsidRPr="00B07545">
              <w:rPr>
                <w:bCs/>
              </w:rPr>
              <w:t>a prezentat 9 de propuneri</w:t>
            </w:r>
            <w:r w:rsidR="00BB2E63">
              <w:rPr>
                <w:bCs/>
              </w:rPr>
              <w:t xml:space="preserve"> vis a vis de proiectul de modificare consultat,</w:t>
            </w:r>
            <w:r w:rsidRPr="00B07545">
              <w:rPr>
                <w:bCs/>
              </w:rPr>
              <w:t xml:space="preserve"> </w:t>
            </w:r>
            <w:r w:rsidR="00BB2E63">
              <w:rPr>
                <w:bCs/>
              </w:rPr>
              <w:t>niciuna dintre acestea nefiind</w:t>
            </w:r>
            <w:r w:rsidRPr="00B07545">
              <w:rPr>
                <w:bCs/>
              </w:rPr>
              <w:t xml:space="preserve"> acceptate.</w:t>
            </w:r>
          </w:p>
          <w:p w14:paraId="6601D7F4" w14:textId="40103860" w:rsidR="00B024EB" w:rsidRDefault="00B07545" w:rsidP="00B07545">
            <w:pPr>
              <w:tabs>
                <w:tab w:val="left" w:pos="426"/>
              </w:tabs>
              <w:jc w:val="both"/>
            </w:pPr>
            <w:r>
              <w:t xml:space="preserve">  </w:t>
            </w:r>
            <w:r w:rsidR="00B024EB">
              <w:t xml:space="preserve"> </w:t>
            </w:r>
            <w:r w:rsidR="00BB2E63">
              <w:t>Dintre acestea s</w:t>
            </w:r>
            <w:r w:rsidR="00B024EB">
              <w:t>e propune excluderea din proiectul de modificare a actului normativ a prevederilor referitor la:</w:t>
            </w:r>
          </w:p>
          <w:p w14:paraId="13ED3FE9" w14:textId="77777777" w:rsidR="00B024EB" w:rsidRDefault="00B024EB" w:rsidP="00B07545">
            <w:pPr>
              <w:tabs>
                <w:tab w:val="left" w:pos="426"/>
              </w:tabs>
              <w:jc w:val="both"/>
              <w:rPr>
                <w:bCs/>
              </w:rPr>
            </w:pPr>
            <w:r>
              <w:t xml:space="preserve"> -  determinarea de către operatorul de sistem a </w:t>
            </w:r>
            <w:r w:rsidRPr="008C2203">
              <w:rPr>
                <w:bCs/>
              </w:rPr>
              <w:t>consumul</w:t>
            </w:r>
            <w:r>
              <w:rPr>
                <w:bCs/>
              </w:rPr>
              <w:t>ui</w:t>
            </w:r>
            <w:r w:rsidRPr="008C2203">
              <w:rPr>
                <w:bCs/>
              </w:rPr>
              <w:t xml:space="preserve"> mediu zilnic al locului de consum utilizând valorile măsurate înregistrate și validate conform ciclurilor de citire a indicațiilor realizate de OS și asociate lunii de livrare, considerând că pe perioada de citire a indicațiilor consumul de energie electrică este</w:t>
            </w:r>
            <w:r>
              <w:rPr>
                <w:bCs/>
              </w:rPr>
              <w:t xml:space="preserve"> constant;</w:t>
            </w:r>
          </w:p>
          <w:p w14:paraId="261EEF79" w14:textId="42E97831" w:rsidR="00B024EB" w:rsidRPr="008C2203" w:rsidRDefault="00B024EB" w:rsidP="00B024EB">
            <w:pPr>
              <w:jc w:val="both"/>
              <w:rPr>
                <w:bCs/>
              </w:rPr>
            </w:pPr>
            <w:r>
              <w:rPr>
                <w:bCs/>
              </w:rPr>
              <w:t xml:space="preserve"> -  și determinarea de către operatorul de sistem a </w:t>
            </w:r>
            <w:r w:rsidRPr="00B024EB">
              <w:rPr>
                <w:bCs/>
              </w:rPr>
              <w:t>consumul</w:t>
            </w:r>
            <w:r>
              <w:rPr>
                <w:bCs/>
              </w:rPr>
              <w:t>ui</w:t>
            </w:r>
            <w:r w:rsidRPr="00B024EB">
              <w:rPr>
                <w:bCs/>
              </w:rPr>
              <w:t xml:space="preserve"> lunar de energie electrică pentru fiecare loc de consum utilizând consumul mediu zilnic de energie electrică, determinat pentru fiecare ciclu de citire ale indicațiilor, pentru perioada cuprinsă între prima zi și ultima zi a lunii de livrare.</w:t>
            </w:r>
            <w:r w:rsidR="006E0EB2">
              <w:rPr>
                <w:bCs/>
              </w:rPr>
              <w:t xml:space="preserve"> </w:t>
            </w:r>
            <w:r w:rsidRPr="00BB2E63">
              <w:rPr>
                <w:bCs/>
                <w:i/>
              </w:rPr>
              <w:t>Aceste propuneri nu se acceptă</w:t>
            </w:r>
            <w:r>
              <w:rPr>
                <w:bCs/>
              </w:rPr>
              <w:t>, deoarece nu se</w:t>
            </w:r>
            <w:r w:rsidRPr="008C2203">
              <w:rPr>
                <w:bCs/>
              </w:rPr>
              <w:t xml:space="preserve"> consideră justificată modificarea mecanismului de determinare a consumului tehnologic și pierderilor de energie electrică și </w:t>
            </w:r>
            <w:r w:rsidRPr="008C2203">
              <w:rPr>
                <w:bCs/>
              </w:rPr>
              <w:lastRenderedPageBreak/>
              <w:t xml:space="preserve">atribuirea energiei electrice consumate la locurile de consum fără echipament de măsurare pe interval, prin aplicarea unui coeficient mediu anual aferent pierderilor OSD. </w:t>
            </w:r>
          </w:p>
          <w:p w14:paraId="1DBF0F8D" w14:textId="0BD5BA45" w:rsidR="005314AA" w:rsidRPr="00B024EB" w:rsidRDefault="00B024EB" w:rsidP="00B024EB">
            <w:pPr>
              <w:tabs>
                <w:tab w:val="left" w:pos="426"/>
              </w:tabs>
              <w:jc w:val="both"/>
              <w:rPr>
                <w:bCs/>
              </w:rPr>
            </w:pPr>
            <w:r w:rsidRPr="008C2203">
              <w:rPr>
                <w:bCs/>
              </w:rPr>
              <w:t>Astfel aplicarea unei astfel de abordări poate duce la impactarea negativă a furnizorilor care furnizează energie electrică consumatorilor finali din zona deservită de operatorul de sistem respectiv.</w:t>
            </w:r>
            <w:r>
              <w:rPr>
                <w:bCs/>
              </w:rPr>
              <w:t xml:space="preserve">  </w:t>
            </w:r>
          </w:p>
          <w:p w14:paraId="57FDAC86" w14:textId="79C1E019" w:rsidR="005F6E55" w:rsidRPr="009D4714" w:rsidRDefault="005F6E55" w:rsidP="005314AA">
            <w:pPr>
              <w:jc w:val="both"/>
            </w:pPr>
            <w:r w:rsidRPr="006A1C2F">
              <w:t xml:space="preserve">  </w:t>
            </w:r>
          </w:p>
        </w:tc>
      </w:tr>
    </w:tbl>
    <w:p w14:paraId="0E84601C" w14:textId="77777777" w:rsidR="00CD5D16" w:rsidRPr="009D4714" w:rsidRDefault="00CD5D16" w:rsidP="00176397"/>
    <w:tbl>
      <w:tblPr>
        <w:tblStyle w:val="ac"/>
        <w:tblW w:w="9644"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54"/>
        <w:gridCol w:w="1134"/>
        <w:gridCol w:w="1418"/>
        <w:gridCol w:w="1438"/>
      </w:tblGrid>
      <w:tr w:rsidR="00FB609F" w:rsidRPr="009D4714" w14:paraId="021332F6" w14:textId="77777777" w:rsidTr="007A783F">
        <w:tc>
          <w:tcPr>
            <w:tcW w:w="9644" w:type="dxa"/>
            <w:gridSpan w:val="4"/>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767BFA8" w14:textId="77777777" w:rsidR="00FB609F" w:rsidRPr="009D4714" w:rsidRDefault="00F62480" w:rsidP="00176397">
            <w:pPr>
              <w:jc w:val="center"/>
            </w:pPr>
            <w:r w:rsidRPr="009D4714">
              <w:rPr>
                <w:b/>
              </w:rPr>
              <w:t>Anexă</w:t>
            </w:r>
          </w:p>
          <w:p w14:paraId="32304D53" w14:textId="77777777" w:rsidR="00FB609F" w:rsidRPr="009D4714" w:rsidRDefault="00F62480" w:rsidP="00176397">
            <w:pPr>
              <w:jc w:val="center"/>
            </w:pPr>
            <w:r w:rsidRPr="009D4714">
              <w:rPr>
                <w:b/>
              </w:rPr>
              <w:t>Tabel pentru identificarea impacturilor</w:t>
            </w:r>
          </w:p>
        </w:tc>
      </w:tr>
      <w:tr w:rsidR="00FB609F" w:rsidRPr="009D4714" w14:paraId="4A73062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96B79F" w14:textId="77777777" w:rsidR="00FB609F" w:rsidRPr="009D4714" w:rsidRDefault="00F62480" w:rsidP="00176397">
            <w:r w:rsidRPr="009D4714">
              <w:rPr>
                <w:b/>
              </w:rPr>
              <w:t>Categorii de impact</w:t>
            </w:r>
          </w:p>
        </w:tc>
        <w:tc>
          <w:tcPr>
            <w:tcW w:w="3990" w:type="dxa"/>
            <w:gridSpan w:val="3"/>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0F27B4" w14:textId="77777777" w:rsidR="00FB609F" w:rsidRPr="009D4714" w:rsidRDefault="00F62480" w:rsidP="00176397">
            <w:pPr>
              <w:jc w:val="center"/>
              <w:rPr>
                <w:b/>
              </w:rPr>
            </w:pPr>
            <w:r w:rsidRPr="009D4714">
              <w:rPr>
                <w:b/>
              </w:rPr>
              <w:t>Punctaj atribuit</w:t>
            </w:r>
          </w:p>
        </w:tc>
      </w:tr>
      <w:tr w:rsidR="00FB609F" w:rsidRPr="009D4714" w14:paraId="37429F4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9C0A179" w14:textId="77777777" w:rsidR="00FB609F" w:rsidRPr="009D4714" w:rsidRDefault="00F62480" w:rsidP="00176397">
            <w:r w:rsidRPr="009D4714">
              <w:rPr>
                <w:i/>
              </w:rPr>
              <w:t> </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FF707B" w14:textId="77777777" w:rsidR="00FB609F" w:rsidRPr="009D4714" w:rsidRDefault="00F62480" w:rsidP="00176397">
            <w:pPr>
              <w:jc w:val="center"/>
            </w:pPr>
            <w:r w:rsidRPr="009D4714">
              <w:rPr>
                <w:i/>
              </w:rPr>
              <w:t>Op</w:t>
            </w:r>
            <w:r w:rsidR="00176397" w:rsidRPr="009D4714">
              <w:rPr>
                <w:i/>
              </w:rPr>
              <w:t>ț</w:t>
            </w:r>
            <w:r w:rsidRPr="009D4714">
              <w:rPr>
                <w:i/>
              </w:rPr>
              <w:t>iunea</w:t>
            </w:r>
          </w:p>
          <w:p w14:paraId="3B8AEA23" w14:textId="77777777" w:rsidR="00FB609F" w:rsidRPr="009D4714" w:rsidRDefault="00F62480" w:rsidP="00176397">
            <w:pPr>
              <w:jc w:val="center"/>
            </w:pPr>
            <w:r w:rsidRPr="009D4714">
              <w:rPr>
                <w:i/>
              </w:rPr>
              <w:t>propusă</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45172E" w14:textId="77777777" w:rsidR="00FB609F" w:rsidRPr="009D4714" w:rsidRDefault="002D0E1E" w:rsidP="00176397">
            <w:pPr>
              <w:jc w:val="center"/>
            </w:pPr>
            <w:r w:rsidRPr="009D4714">
              <w:rPr>
                <w:i/>
              </w:rPr>
              <w:t>Op</w:t>
            </w:r>
            <w:r w:rsidR="00176397" w:rsidRPr="009D4714">
              <w:rPr>
                <w:i/>
              </w:rPr>
              <w:t>ț</w:t>
            </w:r>
            <w:r w:rsidRPr="009D4714">
              <w:rPr>
                <w:i/>
              </w:rPr>
              <w:t>iunea al</w:t>
            </w:r>
            <w:r w:rsidR="00F62480" w:rsidRPr="009D4714">
              <w:rPr>
                <w:i/>
              </w:rPr>
              <w:t>ter</w:t>
            </w:r>
            <w:r w:rsidRPr="009D4714">
              <w:rPr>
                <w:i/>
              </w:rPr>
              <w:t>n</w:t>
            </w:r>
            <w:r w:rsidR="00F62480" w:rsidRPr="009D4714">
              <w:rPr>
                <w:i/>
              </w:rPr>
              <w:t>ativă 1</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973115" w14:textId="77777777" w:rsidR="00FB609F" w:rsidRPr="009D4714" w:rsidRDefault="002D0E1E" w:rsidP="00176397">
            <w:pPr>
              <w:jc w:val="center"/>
            </w:pPr>
            <w:r w:rsidRPr="009D4714">
              <w:rPr>
                <w:i/>
              </w:rPr>
              <w:t>Op</w:t>
            </w:r>
            <w:r w:rsidR="00176397" w:rsidRPr="009D4714">
              <w:rPr>
                <w:i/>
              </w:rPr>
              <w:t>ț</w:t>
            </w:r>
            <w:r w:rsidRPr="009D4714">
              <w:rPr>
                <w:i/>
              </w:rPr>
              <w:t>iunea al</w:t>
            </w:r>
            <w:r w:rsidR="00F62480" w:rsidRPr="009D4714">
              <w:rPr>
                <w:i/>
              </w:rPr>
              <w:t>ter</w:t>
            </w:r>
            <w:r w:rsidRPr="009D4714">
              <w:rPr>
                <w:i/>
              </w:rPr>
              <w:t>n</w:t>
            </w:r>
            <w:r w:rsidR="00F62480" w:rsidRPr="009D4714">
              <w:rPr>
                <w:i/>
              </w:rPr>
              <w:t>ativă 2</w:t>
            </w:r>
          </w:p>
        </w:tc>
      </w:tr>
      <w:tr w:rsidR="00FB609F" w:rsidRPr="009D4714" w14:paraId="7D0BC783"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11E59741" w14:textId="77777777" w:rsidR="00FB609F" w:rsidRPr="009D4714" w:rsidRDefault="005E5606" w:rsidP="00176397">
            <w:sdt>
              <w:sdtPr>
                <w:tag w:val="goog_rdk_7"/>
                <w:id w:val="-137889748"/>
              </w:sdtPr>
              <w:sdtContent/>
            </w:sdt>
            <w:r w:rsidR="00F62480" w:rsidRPr="009D4714">
              <w:rPr>
                <w:b/>
              </w:rPr>
              <w:t>Economic</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2FE84306" w14:textId="77777777" w:rsidR="00FB609F" w:rsidRPr="009D4714" w:rsidRDefault="00FB609F" w:rsidP="00176397"/>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C600FAC" w14:textId="77777777" w:rsidR="00FB609F" w:rsidRPr="009D4714"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C46392A" w14:textId="77777777" w:rsidR="00FB609F" w:rsidRPr="009D4714" w:rsidRDefault="00FB609F" w:rsidP="00176397">
            <w:pPr>
              <w:rPr>
                <w:rFonts w:ascii="Calibri" w:eastAsia="Calibri" w:hAnsi="Calibri" w:cs="Calibri"/>
                <w:sz w:val="20"/>
                <w:szCs w:val="20"/>
              </w:rPr>
            </w:pPr>
          </w:p>
        </w:tc>
      </w:tr>
      <w:tr w:rsidR="00FB609F" w:rsidRPr="004E65AF" w14:paraId="4F0509C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7F1E2D4" w14:textId="77777777" w:rsidR="00FB609F" w:rsidRPr="004E65AF" w:rsidRDefault="00F62480" w:rsidP="00176397">
            <w:r w:rsidRPr="004E65AF">
              <w:t>costurile desfă</w:t>
            </w:r>
            <w:r w:rsidR="00176397" w:rsidRPr="004E65AF">
              <w:t>ș</w:t>
            </w:r>
            <w:r w:rsidRPr="004E65AF">
              <w:t>urării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97AAC5" w14:textId="174DF805" w:rsidR="00FB609F" w:rsidRPr="004E65AF" w:rsidRDefault="008B5E83" w:rsidP="00176397">
            <w:pPr>
              <w:jc w:val="center"/>
            </w:pPr>
            <w:r w:rsidRPr="004E65AF">
              <w:t>+2</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67F138B"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1D9C62" w14:textId="77777777" w:rsidR="00FB609F" w:rsidRPr="004E65AF" w:rsidRDefault="00FB609F" w:rsidP="00176397">
            <w:pPr>
              <w:rPr>
                <w:rFonts w:ascii="Calibri" w:eastAsia="Calibri" w:hAnsi="Calibri" w:cs="Calibri"/>
                <w:sz w:val="20"/>
                <w:szCs w:val="20"/>
              </w:rPr>
            </w:pPr>
          </w:p>
        </w:tc>
      </w:tr>
      <w:tr w:rsidR="00FB609F" w:rsidRPr="004E65AF" w14:paraId="7B590C2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F542D1F" w14:textId="77777777" w:rsidR="00FB609F" w:rsidRPr="004E65AF" w:rsidRDefault="00F62480" w:rsidP="00176397">
            <w:r w:rsidRPr="004E65AF">
              <w:t>povara administrativă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53C957" w14:textId="133E041F" w:rsidR="00FB609F" w:rsidRPr="004E65AF" w:rsidRDefault="00EB2A38"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5FE898"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6AEED4" w14:textId="77777777" w:rsidR="00FB609F" w:rsidRPr="004E65AF" w:rsidRDefault="00FB609F" w:rsidP="00176397">
            <w:pPr>
              <w:rPr>
                <w:rFonts w:ascii="Calibri" w:eastAsia="Calibri" w:hAnsi="Calibri" w:cs="Calibri"/>
                <w:sz w:val="20"/>
                <w:szCs w:val="20"/>
              </w:rPr>
            </w:pPr>
          </w:p>
        </w:tc>
      </w:tr>
      <w:tr w:rsidR="00FB609F" w:rsidRPr="004E65AF" w14:paraId="7A41670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234763C" w14:textId="77777777" w:rsidR="00FB609F" w:rsidRPr="004E65AF" w:rsidRDefault="00F62480" w:rsidP="00176397">
            <w:r w:rsidRPr="004E65AF">
              <w:t xml:space="preserve">fluxurile comerciale </w:t>
            </w:r>
            <w:r w:rsidR="00176397" w:rsidRPr="004E65AF">
              <w:t>ș</w:t>
            </w:r>
            <w:r w:rsidRPr="004E65AF">
              <w:t>i investi</w:t>
            </w:r>
            <w:r w:rsidR="00176397" w:rsidRPr="004E65AF">
              <w:t>ț</w:t>
            </w:r>
            <w:r w:rsidRPr="004E65AF">
              <w:t>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A8A0A8" w14:textId="5E44E428" w:rsidR="00FB609F" w:rsidRPr="004E65AF" w:rsidRDefault="00EB2A38"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282419" w14:textId="77777777" w:rsidR="00FB609F" w:rsidRPr="004E65AF"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FDAF79" w14:textId="77777777" w:rsidR="00FB609F" w:rsidRPr="004E65AF" w:rsidRDefault="00F62480" w:rsidP="00176397">
            <w:r w:rsidRPr="004E65AF">
              <w:t> </w:t>
            </w:r>
          </w:p>
        </w:tc>
      </w:tr>
      <w:tr w:rsidR="00FB609F" w:rsidRPr="004E65AF" w14:paraId="62C280B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A199E74" w14:textId="77777777" w:rsidR="00FB609F" w:rsidRPr="004E65AF" w:rsidRDefault="00F62480" w:rsidP="00176397">
            <w:r w:rsidRPr="004E65AF">
              <w:t>competitivitatea afacerilor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E0A32F" w14:textId="695A6AD5" w:rsidR="00FB609F" w:rsidRPr="004E65AF" w:rsidRDefault="008B5E83" w:rsidP="00176397">
            <w:pPr>
              <w:jc w:val="center"/>
            </w:pPr>
            <w:r w:rsidRPr="004E65AF">
              <w:t>+2</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E0E9C9"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75A832" w14:textId="77777777" w:rsidR="00FB609F" w:rsidRPr="004E65AF" w:rsidRDefault="00FB609F" w:rsidP="00176397">
            <w:pPr>
              <w:rPr>
                <w:rFonts w:ascii="Calibri" w:eastAsia="Calibri" w:hAnsi="Calibri" w:cs="Calibri"/>
                <w:sz w:val="20"/>
                <w:szCs w:val="20"/>
              </w:rPr>
            </w:pPr>
          </w:p>
        </w:tc>
      </w:tr>
      <w:tr w:rsidR="00FB609F" w:rsidRPr="004E65AF" w14:paraId="220DC80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AD1FF85" w14:textId="77777777" w:rsidR="00FB609F" w:rsidRPr="004E65AF" w:rsidRDefault="00F62480" w:rsidP="00176397">
            <w:r w:rsidRPr="004E65AF">
              <w:t xml:space="preserve">activitatea diferitor categorii de întreprinderi mici </w:t>
            </w:r>
            <w:r w:rsidR="00176397" w:rsidRPr="004E65AF">
              <w:t>ș</w:t>
            </w:r>
            <w:r w:rsidRPr="004E65AF">
              <w:t>i mijlocii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446CE1" w14:textId="77777777" w:rsidR="00FB609F" w:rsidRPr="004E65AF" w:rsidRDefault="00A722E1"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11CC3A" w14:textId="77777777" w:rsidR="00FB609F" w:rsidRPr="004E65AF"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D4BAC4" w14:textId="77777777" w:rsidR="00FB609F" w:rsidRPr="004E65AF" w:rsidRDefault="00FB609F" w:rsidP="00176397"/>
        </w:tc>
      </w:tr>
      <w:tr w:rsidR="00FB609F" w:rsidRPr="004E65AF" w14:paraId="01BC8DE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C03BD8" w14:textId="77777777" w:rsidR="00FB609F" w:rsidRPr="004E65AF" w:rsidRDefault="00F62480" w:rsidP="00176397">
            <w:r w:rsidRPr="004E65AF">
              <w:t>concuren</w:t>
            </w:r>
            <w:r w:rsidR="00176397" w:rsidRPr="004E65AF">
              <w:t>ț</w:t>
            </w:r>
            <w:r w:rsidRPr="004E65AF">
              <w:t>a pe pia</w:t>
            </w:r>
            <w:r w:rsidR="00176397" w:rsidRPr="004E65AF">
              <w:t>ț</w:t>
            </w:r>
            <w:r w:rsidRPr="004E65AF">
              <w:t>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C48BE2" w14:textId="79B09775" w:rsidR="00FB609F" w:rsidRPr="004E65AF" w:rsidRDefault="008B5E83" w:rsidP="00176397">
            <w:pPr>
              <w:jc w:val="center"/>
            </w:pPr>
            <w:r w:rsidRPr="004E65AF">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13742B5" w14:textId="77777777" w:rsidR="00FB609F" w:rsidRPr="004E65AF"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06D8EB" w14:textId="77777777" w:rsidR="00FB609F" w:rsidRPr="004E65AF" w:rsidRDefault="00FB609F" w:rsidP="00176397">
            <w:pPr>
              <w:rPr>
                <w:rFonts w:ascii="Calibri" w:eastAsia="Calibri" w:hAnsi="Calibri" w:cs="Calibri"/>
                <w:sz w:val="20"/>
                <w:szCs w:val="20"/>
              </w:rPr>
            </w:pPr>
          </w:p>
        </w:tc>
      </w:tr>
      <w:tr w:rsidR="00FB609F" w:rsidRPr="004E65AF" w14:paraId="75FFD74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99DC624" w14:textId="77777777" w:rsidR="00FB609F" w:rsidRPr="004E65AF" w:rsidRDefault="00F62480" w:rsidP="00176397">
            <w:r w:rsidRPr="004E65AF">
              <w:t xml:space="preserve">activitatea de inovare </w:t>
            </w:r>
            <w:r w:rsidR="00176397" w:rsidRPr="004E65AF">
              <w:t>ș</w:t>
            </w:r>
            <w:r w:rsidRPr="004E65AF">
              <w:t>i cercetare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4C73562" w14:textId="77777777" w:rsidR="00FB609F" w:rsidRPr="004E65AF" w:rsidRDefault="001F1C00"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957ED6F"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D3C867A" w14:textId="77777777" w:rsidR="00FB609F" w:rsidRPr="004E65AF" w:rsidRDefault="00FB609F" w:rsidP="00176397">
            <w:pPr>
              <w:rPr>
                <w:rFonts w:ascii="Calibri" w:eastAsia="Calibri" w:hAnsi="Calibri" w:cs="Calibri"/>
                <w:sz w:val="20"/>
                <w:szCs w:val="20"/>
              </w:rPr>
            </w:pPr>
          </w:p>
        </w:tc>
      </w:tr>
      <w:tr w:rsidR="00FB609F" w:rsidRPr="004E65AF" w14:paraId="2C71552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2F29A47" w14:textId="77777777" w:rsidR="00FB609F" w:rsidRPr="004E65AF" w:rsidRDefault="00F62480" w:rsidP="00176397">
            <w:r w:rsidRPr="004E65AF">
              <w:t xml:space="preserve">veniturile </w:t>
            </w:r>
            <w:r w:rsidR="00176397" w:rsidRPr="004E65AF">
              <w:t>ș</w:t>
            </w:r>
            <w:r w:rsidRPr="004E65AF">
              <w:t>i cheltuielile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158DC0" w14:textId="77777777" w:rsidR="00FB609F" w:rsidRPr="004E65AF" w:rsidRDefault="006917F6"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EBF79C"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886F4FD" w14:textId="77777777" w:rsidR="00FB609F" w:rsidRPr="004E65AF" w:rsidRDefault="00FB609F" w:rsidP="00176397">
            <w:pPr>
              <w:rPr>
                <w:rFonts w:ascii="Calibri" w:eastAsia="Calibri" w:hAnsi="Calibri" w:cs="Calibri"/>
                <w:sz w:val="20"/>
                <w:szCs w:val="20"/>
              </w:rPr>
            </w:pPr>
          </w:p>
        </w:tc>
      </w:tr>
      <w:tr w:rsidR="00FB609F" w:rsidRPr="004E65AF" w14:paraId="6BF930F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2DD227F" w14:textId="77777777" w:rsidR="00FB609F" w:rsidRPr="004E65AF" w:rsidRDefault="00F62480" w:rsidP="00176397">
            <w:r w:rsidRPr="004E65AF">
              <w:t>cadrul institu</w:t>
            </w:r>
            <w:r w:rsidR="00176397" w:rsidRPr="004E65AF">
              <w:t>ț</w:t>
            </w:r>
            <w:r w:rsidRPr="004E65AF">
              <w:t>ional al autorită</w:t>
            </w:r>
            <w:r w:rsidR="00176397" w:rsidRPr="004E65AF">
              <w:t>ț</w:t>
            </w:r>
            <w:r w:rsidRPr="004E65AF">
              <w:t>ilor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812DBD" w14:textId="77777777" w:rsidR="00FB609F" w:rsidRPr="004E65AF" w:rsidRDefault="001F1C00" w:rsidP="00176397">
            <w:pPr>
              <w:jc w:val="center"/>
            </w:pPr>
            <w:r w:rsidRPr="004E65AF">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C49011"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D79EEF" w14:textId="77777777" w:rsidR="00FB609F" w:rsidRPr="004E65AF" w:rsidRDefault="00FB609F" w:rsidP="00176397">
            <w:pPr>
              <w:rPr>
                <w:rFonts w:ascii="Calibri" w:eastAsia="Calibri" w:hAnsi="Calibri" w:cs="Calibri"/>
                <w:sz w:val="20"/>
                <w:szCs w:val="20"/>
              </w:rPr>
            </w:pPr>
          </w:p>
        </w:tc>
      </w:tr>
      <w:tr w:rsidR="00FB609F" w:rsidRPr="004E65AF" w14:paraId="2D71DE0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1D803D7" w14:textId="77777777" w:rsidR="00FB609F" w:rsidRPr="004E65AF" w:rsidRDefault="00F62480" w:rsidP="00176397">
            <w:r w:rsidRPr="004E65AF">
              <w:t xml:space="preserve">alegerea, calitatea </w:t>
            </w:r>
            <w:r w:rsidR="00176397" w:rsidRPr="004E65AF">
              <w:t>ș</w:t>
            </w:r>
            <w:r w:rsidRPr="004E65AF">
              <w:t>i pre</w:t>
            </w:r>
            <w:r w:rsidR="00176397" w:rsidRPr="004E65AF">
              <w:t>ț</w:t>
            </w:r>
            <w:r w:rsidRPr="004E65AF">
              <w:t>urile pentru consumatori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7182B0A" w14:textId="4FF1702C" w:rsidR="00FB609F" w:rsidRPr="004E65AF" w:rsidRDefault="008B5E83" w:rsidP="00176397">
            <w:pPr>
              <w:jc w:val="center"/>
            </w:pPr>
            <w:r w:rsidRPr="004E65AF">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3819F7" w14:textId="77777777" w:rsidR="00FB609F" w:rsidRPr="004E65AF"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448F1D1" w14:textId="77777777" w:rsidR="00FB609F" w:rsidRPr="004E65AF" w:rsidRDefault="00FB609F" w:rsidP="00176397">
            <w:pPr>
              <w:rPr>
                <w:rFonts w:ascii="Calibri" w:eastAsia="Calibri" w:hAnsi="Calibri" w:cs="Calibri"/>
                <w:sz w:val="20"/>
                <w:szCs w:val="20"/>
              </w:rPr>
            </w:pPr>
          </w:p>
        </w:tc>
      </w:tr>
      <w:tr w:rsidR="00FB609F" w:rsidRPr="00C2281C" w14:paraId="5B13D6F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45EA89B" w14:textId="77777777" w:rsidR="00FB609F" w:rsidRPr="004E65AF" w:rsidRDefault="00F62480" w:rsidP="00176397">
            <w:r w:rsidRPr="004E65AF">
              <w:t xml:space="preserve">bunăstarea gospodăriilor casnice </w:t>
            </w:r>
            <w:r w:rsidR="00176397" w:rsidRPr="004E65AF">
              <w:t>ș</w:t>
            </w:r>
            <w:r w:rsidRPr="004E65AF">
              <w:t>i a cetă</w:t>
            </w:r>
            <w:r w:rsidR="00176397" w:rsidRPr="004E65AF">
              <w:t>ț</w:t>
            </w:r>
            <w:r w:rsidRPr="004E65AF">
              <w:t>enilor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76E66D" w14:textId="333FE49C" w:rsidR="00FB609F" w:rsidRPr="004E65AF" w:rsidRDefault="00C2281C" w:rsidP="00176397">
            <w:pPr>
              <w:jc w:val="center"/>
            </w:pPr>
            <w:r w:rsidRPr="004E65AF">
              <w:t>+1</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2AC33" w14:textId="77777777" w:rsidR="00FB609F" w:rsidRPr="004E65AF"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445211B" w14:textId="77777777" w:rsidR="00FB609F" w:rsidRPr="004E65AF" w:rsidRDefault="00FB609F" w:rsidP="00176397">
            <w:pPr>
              <w:rPr>
                <w:rFonts w:ascii="Calibri" w:eastAsia="Calibri" w:hAnsi="Calibri" w:cs="Calibri"/>
                <w:sz w:val="20"/>
                <w:szCs w:val="20"/>
              </w:rPr>
            </w:pPr>
          </w:p>
        </w:tc>
      </w:tr>
      <w:tr w:rsidR="00FB609F" w:rsidRPr="009D4714" w14:paraId="5DB9EB4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32A6027" w14:textId="77777777" w:rsidR="00FB609F" w:rsidRPr="009D4714" w:rsidRDefault="00F62480" w:rsidP="00176397">
            <w:r w:rsidRPr="009D4714">
              <w:t>situa</w:t>
            </w:r>
            <w:r w:rsidR="00176397" w:rsidRPr="009D4714">
              <w:t>ț</w:t>
            </w:r>
            <w:r w:rsidRPr="009D4714">
              <w:t>ia social-economică în anumite regiuni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B78845" w14:textId="77777777" w:rsidR="00FB609F" w:rsidRPr="009D4714" w:rsidRDefault="00162DF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F37936" w14:textId="77777777" w:rsidR="00FB609F" w:rsidRPr="009D4714"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7DE4A9" w14:textId="77777777" w:rsidR="00FB609F" w:rsidRPr="009D4714" w:rsidRDefault="00FB609F" w:rsidP="00176397">
            <w:pPr>
              <w:rPr>
                <w:rFonts w:ascii="Calibri" w:eastAsia="Calibri" w:hAnsi="Calibri" w:cs="Calibri"/>
                <w:sz w:val="20"/>
                <w:szCs w:val="20"/>
              </w:rPr>
            </w:pPr>
          </w:p>
        </w:tc>
      </w:tr>
      <w:tr w:rsidR="00FB609F" w:rsidRPr="009D4714" w14:paraId="713495F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083F25D" w14:textId="77777777" w:rsidR="00FB609F" w:rsidRPr="009D4714" w:rsidRDefault="00F62480" w:rsidP="00176397">
            <w:r w:rsidRPr="009D4714">
              <w:t>situa</w:t>
            </w:r>
            <w:r w:rsidR="00176397" w:rsidRPr="009D4714">
              <w:t>ț</w:t>
            </w:r>
            <w:r w:rsidRPr="009D4714">
              <w:t>ia macroeconomică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F59F05" w14:textId="77777777" w:rsidR="00FB609F" w:rsidRPr="009D4714" w:rsidRDefault="0074742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E2565D"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B17F591" w14:textId="77777777" w:rsidR="00FB609F" w:rsidRPr="009D4714" w:rsidRDefault="00FB609F" w:rsidP="00176397"/>
        </w:tc>
      </w:tr>
      <w:tr w:rsidR="00FB609F" w:rsidRPr="009D4714" w14:paraId="1EF4E1A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969F9DA" w14:textId="77777777" w:rsidR="00FB609F" w:rsidRPr="009D4714" w:rsidRDefault="00F62480" w:rsidP="00176397">
            <w:r w:rsidRPr="009D4714">
              <w:t>alte aspecte economice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A2E0DC" w14:textId="38E6D8FA" w:rsidR="00FB609F" w:rsidRPr="009D4714" w:rsidRDefault="00673776" w:rsidP="00D025AA">
            <w:pPr>
              <w:jc w:val="center"/>
            </w:pPr>
            <w:r>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992866" w14:textId="77777777" w:rsidR="00FB609F" w:rsidRPr="009D4714"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AF87AE" w14:textId="77777777" w:rsidR="00FB609F" w:rsidRPr="009D4714" w:rsidRDefault="00FB609F" w:rsidP="00176397">
            <w:pPr>
              <w:rPr>
                <w:rFonts w:ascii="Calibri" w:eastAsia="Calibri" w:hAnsi="Calibri" w:cs="Calibri"/>
                <w:sz w:val="20"/>
                <w:szCs w:val="20"/>
              </w:rPr>
            </w:pPr>
          </w:p>
        </w:tc>
      </w:tr>
      <w:tr w:rsidR="00FB609F" w:rsidRPr="009D4714" w14:paraId="42B50004"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33816310" w14:textId="77777777" w:rsidR="00FB609F" w:rsidRPr="009D4714" w:rsidRDefault="00F62480" w:rsidP="00176397">
            <w:r w:rsidRPr="009D4714">
              <w:rPr>
                <w:b/>
              </w:rPr>
              <w:t>Social</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5C23AC7" w14:textId="77777777" w:rsidR="00FB609F" w:rsidRPr="009D4714" w:rsidRDefault="00FB609F" w:rsidP="00176397">
            <w:pPr>
              <w:jc w:val="cente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7558F3B" w14:textId="77777777" w:rsidR="00FB609F" w:rsidRPr="009D4714"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86480FA" w14:textId="77777777" w:rsidR="00FB609F" w:rsidRPr="009D4714" w:rsidRDefault="00FB609F" w:rsidP="00176397">
            <w:pPr>
              <w:rPr>
                <w:rFonts w:ascii="Calibri" w:eastAsia="Calibri" w:hAnsi="Calibri" w:cs="Calibri"/>
                <w:sz w:val="20"/>
                <w:szCs w:val="20"/>
              </w:rPr>
            </w:pPr>
          </w:p>
        </w:tc>
      </w:tr>
      <w:tr w:rsidR="00FB609F" w:rsidRPr="009D4714" w14:paraId="66F4219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4CE6369" w14:textId="77777777" w:rsidR="00FB609F" w:rsidRPr="009D4714" w:rsidRDefault="00F62480" w:rsidP="00176397">
            <w:r w:rsidRPr="009D4714">
              <w:t>gradul de ocupare a for</w:t>
            </w:r>
            <w:r w:rsidR="00176397" w:rsidRPr="009D4714">
              <w:t>ț</w:t>
            </w:r>
            <w:r w:rsidRPr="009D4714">
              <w:t>ei de muncă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C87155" w14:textId="77777777" w:rsidR="00FB609F" w:rsidRPr="009D4714" w:rsidRDefault="0074742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B0C0F0"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E6A926" w14:textId="77777777" w:rsidR="00FB609F" w:rsidRPr="009D4714" w:rsidRDefault="00FB609F" w:rsidP="00176397"/>
        </w:tc>
      </w:tr>
      <w:tr w:rsidR="00FB609F" w:rsidRPr="009D4714" w14:paraId="73E993A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EB8C72A" w14:textId="77777777" w:rsidR="00FB609F" w:rsidRPr="009D4714" w:rsidRDefault="00F62480" w:rsidP="00176397">
            <w:r w:rsidRPr="009D4714">
              <w:t>nivelul de salarizare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BD6A07" w14:textId="77777777" w:rsidR="00FB609F" w:rsidRPr="009D4714" w:rsidRDefault="0074742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996B3A"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AB3845D" w14:textId="77777777" w:rsidR="00FB609F" w:rsidRPr="009D4714" w:rsidRDefault="00F62480" w:rsidP="00176397">
            <w:r w:rsidRPr="009D4714">
              <w:t> </w:t>
            </w:r>
          </w:p>
        </w:tc>
      </w:tr>
      <w:tr w:rsidR="00FB609F" w:rsidRPr="009D4714" w14:paraId="7DA846E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2D2BD38" w14:textId="77777777" w:rsidR="00FB609F" w:rsidRPr="009D4714" w:rsidRDefault="00F62480" w:rsidP="00176397">
            <w:r w:rsidRPr="009D4714">
              <w:t>condi</w:t>
            </w:r>
            <w:r w:rsidR="00176397" w:rsidRPr="009D4714">
              <w:t>ț</w:t>
            </w:r>
            <w:r w:rsidRPr="009D4714">
              <w:t xml:space="preserve">iile </w:t>
            </w:r>
            <w:r w:rsidR="00176397" w:rsidRPr="009D4714">
              <w:t>ș</w:t>
            </w:r>
            <w:r w:rsidRPr="009D4714">
              <w:t>i organizarea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9B1ECE1"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9D93DEB"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293378" w14:textId="77777777" w:rsidR="00FB609F" w:rsidRPr="009D4714" w:rsidRDefault="00F62480" w:rsidP="00176397">
            <w:r w:rsidRPr="009D4714">
              <w:t> </w:t>
            </w:r>
          </w:p>
        </w:tc>
      </w:tr>
      <w:tr w:rsidR="00FB609F" w:rsidRPr="009D4714" w14:paraId="313459D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BB5E51D" w14:textId="77777777" w:rsidR="00FB609F" w:rsidRPr="009D4714" w:rsidRDefault="00F62480" w:rsidP="00176397">
            <w:r w:rsidRPr="009D4714">
              <w:t xml:space="preserve">sănătatea </w:t>
            </w:r>
            <w:r w:rsidR="00176397" w:rsidRPr="009D4714">
              <w:t>ș</w:t>
            </w:r>
            <w:r w:rsidRPr="009D4714">
              <w:t>i securitatea muncii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C235C7B"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9FB773"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14D654F" w14:textId="77777777" w:rsidR="00FB609F" w:rsidRPr="009D4714" w:rsidRDefault="00F62480" w:rsidP="00176397">
            <w:r w:rsidRPr="009D4714">
              <w:t> </w:t>
            </w:r>
          </w:p>
        </w:tc>
      </w:tr>
      <w:tr w:rsidR="00FB609F" w:rsidRPr="009D4714" w14:paraId="1722AE67"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066AA20" w14:textId="77777777" w:rsidR="00FB609F" w:rsidRPr="009D4714" w:rsidRDefault="00F62480" w:rsidP="00176397">
            <w:r w:rsidRPr="009D4714">
              <w:t>formarea profesională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99697D"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70AE69"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ADFCF5C" w14:textId="77777777" w:rsidR="00FB609F" w:rsidRPr="009D4714" w:rsidRDefault="00F62480" w:rsidP="00176397">
            <w:r w:rsidRPr="009D4714">
              <w:t> </w:t>
            </w:r>
          </w:p>
        </w:tc>
      </w:tr>
      <w:tr w:rsidR="00FB609F" w:rsidRPr="009D4714" w14:paraId="0DFC7AC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8895ED1" w14:textId="77777777" w:rsidR="00FB609F" w:rsidRPr="009D4714" w:rsidRDefault="00F62480" w:rsidP="00176397">
            <w:r w:rsidRPr="009D4714">
              <w:t xml:space="preserve">inegalitatea </w:t>
            </w:r>
            <w:r w:rsidR="00176397" w:rsidRPr="009D4714">
              <w:t>ș</w:t>
            </w:r>
            <w:r w:rsidRPr="009D4714">
              <w:t>i distribu</w:t>
            </w:r>
            <w:r w:rsidR="00176397" w:rsidRPr="009D4714">
              <w:t>ț</w:t>
            </w:r>
            <w:r w:rsidRPr="009D4714">
              <w:t>ia veniturilor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0730A6" w14:textId="77777777" w:rsidR="00FB609F" w:rsidRPr="009D4714" w:rsidRDefault="0074742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3E21709"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9AA017" w14:textId="77777777" w:rsidR="00FB609F" w:rsidRPr="009D4714" w:rsidRDefault="00F62480" w:rsidP="00176397">
            <w:r w:rsidRPr="009D4714">
              <w:t> </w:t>
            </w:r>
          </w:p>
        </w:tc>
      </w:tr>
      <w:tr w:rsidR="00FB609F" w:rsidRPr="009D4714" w14:paraId="1EA37CC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A0012C5" w14:textId="77777777" w:rsidR="00FB609F" w:rsidRPr="009D4714" w:rsidRDefault="00F62480" w:rsidP="00176397">
            <w:r w:rsidRPr="009D4714">
              <w:lastRenderedPageBreak/>
              <w:t>nivelul veniturilor popula</w:t>
            </w:r>
            <w:r w:rsidR="00176397" w:rsidRPr="009D4714">
              <w:t>ț</w:t>
            </w:r>
            <w:r w:rsidRPr="009D4714">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FDCD28D"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8653E6"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D4D6EE0" w14:textId="77777777" w:rsidR="00FB609F" w:rsidRPr="009D4714" w:rsidRDefault="00F62480" w:rsidP="00176397">
            <w:r w:rsidRPr="009D4714">
              <w:t> </w:t>
            </w:r>
          </w:p>
        </w:tc>
      </w:tr>
      <w:tr w:rsidR="00FB609F" w:rsidRPr="009D4714" w14:paraId="5BBD9A0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0F71D24" w14:textId="77777777" w:rsidR="00FB609F" w:rsidRPr="009D4714" w:rsidRDefault="00F62480" w:rsidP="00176397">
            <w:r w:rsidRPr="009D4714">
              <w:t>nivelul sărăciei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2593B2" w14:textId="77777777" w:rsidR="00FB609F" w:rsidRPr="009D4714" w:rsidRDefault="00162DF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9FCE2E"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B5C118" w14:textId="77777777" w:rsidR="00FB609F" w:rsidRPr="009D4714" w:rsidRDefault="00F62480" w:rsidP="00176397">
            <w:r w:rsidRPr="009D4714">
              <w:t> </w:t>
            </w:r>
          </w:p>
        </w:tc>
      </w:tr>
      <w:tr w:rsidR="00FB609F" w:rsidRPr="009D4714" w14:paraId="7B65774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3CBA085" w14:textId="77777777" w:rsidR="00FB609F" w:rsidRPr="009D4714" w:rsidRDefault="00F62480" w:rsidP="00176397">
            <w:r w:rsidRPr="009D4714">
              <w:t xml:space="preserve">accesul la bunuri </w:t>
            </w:r>
            <w:r w:rsidR="00176397" w:rsidRPr="009D4714">
              <w:t>ș</w:t>
            </w:r>
            <w:r w:rsidRPr="009D4714">
              <w:t>i servicii de bază, în special pentru persoanele social-vulnerabile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5D9BFD9" w14:textId="77777777" w:rsidR="00FB609F" w:rsidRPr="009D4714" w:rsidRDefault="00162DF7"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A19DC9"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C2ED31B" w14:textId="77777777" w:rsidR="00FB609F" w:rsidRPr="009D4714" w:rsidRDefault="00F62480" w:rsidP="00176397">
            <w:r w:rsidRPr="009D4714">
              <w:t> </w:t>
            </w:r>
          </w:p>
        </w:tc>
      </w:tr>
      <w:tr w:rsidR="00FB609F" w:rsidRPr="009D4714" w14:paraId="4437507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9E52D5" w14:textId="77777777" w:rsidR="00FB609F" w:rsidRPr="009D4714" w:rsidRDefault="00F62480" w:rsidP="00176397">
            <w:r w:rsidRPr="009D4714">
              <w:t xml:space="preserve">diversitatea culturală </w:t>
            </w:r>
            <w:r w:rsidR="00176397" w:rsidRPr="009D4714">
              <w:t>ș</w:t>
            </w:r>
            <w:r w:rsidRPr="009D4714">
              <w:t>i lingvistică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ADCA673"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DEA4100"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CC71D2" w14:textId="77777777" w:rsidR="00FB609F" w:rsidRPr="009D4714" w:rsidRDefault="00F62480" w:rsidP="00176397">
            <w:r w:rsidRPr="009D4714">
              <w:t> </w:t>
            </w:r>
          </w:p>
        </w:tc>
      </w:tr>
      <w:tr w:rsidR="00FB609F" w:rsidRPr="009D4714" w14:paraId="499E08E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15E003" w14:textId="77777777" w:rsidR="00FB609F" w:rsidRPr="009D4714" w:rsidRDefault="00F62480" w:rsidP="00176397">
            <w:r w:rsidRPr="009D4714">
              <w:t xml:space="preserve">partidele politice </w:t>
            </w:r>
            <w:r w:rsidR="00176397" w:rsidRPr="009D4714">
              <w:t>ș</w:t>
            </w:r>
            <w:r w:rsidRPr="009D4714">
              <w:t>i organiza</w:t>
            </w:r>
            <w:r w:rsidR="00176397" w:rsidRPr="009D4714">
              <w:t>ț</w:t>
            </w:r>
            <w:r w:rsidRPr="009D4714">
              <w:t>iile civice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3F8836"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597780"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4A5B52" w14:textId="77777777" w:rsidR="00FB609F" w:rsidRPr="009D4714" w:rsidRDefault="00F62480" w:rsidP="00176397">
            <w:r w:rsidRPr="009D4714">
              <w:t> </w:t>
            </w:r>
          </w:p>
        </w:tc>
      </w:tr>
      <w:tr w:rsidR="00FB609F" w:rsidRPr="009D4714" w14:paraId="75ED7D5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C80432" w14:textId="77777777" w:rsidR="00FB609F" w:rsidRPr="009D4714" w:rsidRDefault="00F62480" w:rsidP="00176397">
            <w:r w:rsidRPr="009D4714">
              <w:t xml:space="preserve">sănătatea publică, inclusiv mortalitatea </w:t>
            </w:r>
            <w:r w:rsidR="00176397" w:rsidRPr="009D4714">
              <w:t>ș</w:t>
            </w:r>
            <w:r w:rsidRPr="009D4714">
              <w:t>i morbiditatea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55C52F"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7A7FCD"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85D29C" w14:textId="77777777" w:rsidR="00FB609F" w:rsidRPr="009D4714" w:rsidRDefault="00F62480" w:rsidP="00176397">
            <w:r w:rsidRPr="009D4714">
              <w:t> </w:t>
            </w:r>
          </w:p>
        </w:tc>
      </w:tr>
      <w:tr w:rsidR="00FB609F" w:rsidRPr="009D4714" w14:paraId="2BD95FA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2ED73AE" w14:textId="77777777" w:rsidR="00FB609F" w:rsidRPr="009D4714" w:rsidRDefault="00F62480" w:rsidP="00176397">
            <w:r w:rsidRPr="009D4714">
              <w:t>modul sănătos de via</w:t>
            </w:r>
            <w:r w:rsidR="00176397" w:rsidRPr="009D4714">
              <w:t>ț</w:t>
            </w:r>
            <w:r w:rsidRPr="009D4714">
              <w:t>ă al popula</w:t>
            </w:r>
            <w:r w:rsidR="00176397" w:rsidRPr="009D4714">
              <w:t>ț</w:t>
            </w:r>
            <w:r w:rsidRPr="009D4714">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A7B9960"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B7D66F"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1AA4301" w14:textId="77777777" w:rsidR="00FB609F" w:rsidRPr="009D4714" w:rsidRDefault="00F62480" w:rsidP="00176397">
            <w:r w:rsidRPr="009D4714">
              <w:t> </w:t>
            </w:r>
          </w:p>
        </w:tc>
      </w:tr>
      <w:tr w:rsidR="00FB609F" w:rsidRPr="009D4714" w14:paraId="001A4873"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D3808F3" w14:textId="77777777" w:rsidR="00FB609F" w:rsidRPr="009D4714" w:rsidRDefault="00F62480" w:rsidP="00176397">
            <w:r w:rsidRPr="009D4714">
              <w:t>nivelul criminalită</w:t>
            </w:r>
            <w:r w:rsidR="00176397" w:rsidRPr="009D4714">
              <w:t>ț</w:t>
            </w:r>
            <w:r w:rsidRPr="009D4714">
              <w:t xml:space="preserve">ii </w:t>
            </w:r>
            <w:r w:rsidR="00176397" w:rsidRPr="009D4714">
              <w:t>ș</w:t>
            </w:r>
            <w:r w:rsidRPr="009D4714">
              <w:t>i securită</w:t>
            </w:r>
            <w:r w:rsidR="00176397" w:rsidRPr="009D4714">
              <w:t>ț</w:t>
            </w:r>
            <w:r w:rsidRPr="009D4714">
              <w:t>ii publice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BC2658"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217F687"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597CED" w14:textId="77777777" w:rsidR="00FB609F" w:rsidRPr="009D4714" w:rsidRDefault="00F62480" w:rsidP="00176397">
            <w:r w:rsidRPr="009D4714">
              <w:t> </w:t>
            </w:r>
          </w:p>
        </w:tc>
      </w:tr>
      <w:tr w:rsidR="00FB609F" w:rsidRPr="009D4714" w14:paraId="09346ECF"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B5A07AC" w14:textId="77777777" w:rsidR="00FB609F" w:rsidRPr="009D4714" w:rsidRDefault="00F62480" w:rsidP="00176397">
            <w:r w:rsidRPr="009D4714">
              <w:t xml:space="preserve">accesul </w:t>
            </w:r>
            <w:r w:rsidR="00176397" w:rsidRPr="009D4714">
              <w:t>ș</w:t>
            </w:r>
            <w:r w:rsidRPr="009D4714">
              <w:t>i calitatea serviciilor de protec</w:t>
            </w:r>
            <w:r w:rsidR="00176397" w:rsidRPr="009D4714">
              <w:t>ț</w:t>
            </w:r>
            <w:r w:rsidRPr="009D4714">
              <w:t>ie socială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E50530"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04D107"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BD3D8E3" w14:textId="77777777" w:rsidR="00FB609F" w:rsidRPr="009D4714" w:rsidRDefault="00F62480" w:rsidP="00176397">
            <w:r w:rsidRPr="009D4714">
              <w:t> </w:t>
            </w:r>
          </w:p>
        </w:tc>
      </w:tr>
      <w:tr w:rsidR="00FB609F" w:rsidRPr="009D4714" w14:paraId="5119283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B8BB5DE" w14:textId="77777777" w:rsidR="00FB609F" w:rsidRPr="009D4714" w:rsidRDefault="00F62480" w:rsidP="00176397">
            <w:r w:rsidRPr="009D4714">
              <w:t xml:space="preserve">accesul </w:t>
            </w:r>
            <w:r w:rsidR="00176397" w:rsidRPr="009D4714">
              <w:t>ș</w:t>
            </w:r>
            <w:r w:rsidRPr="009D4714">
              <w:t>i calitatea serviciilor educa</w:t>
            </w:r>
            <w:r w:rsidR="00176397" w:rsidRPr="009D4714">
              <w:t>ț</w:t>
            </w:r>
            <w:r w:rsidRPr="009D4714">
              <w:t>ionale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CCE81A"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F12136"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193E084" w14:textId="77777777" w:rsidR="00FB609F" w:rsidRPr="009D4714" w:rsidRDefault="00F62480" w:rsidP="00176397">
            <w:r w:rsidRPr="009D4714">
              <w:t> </w:t>
            </w:r>
          </w:p>
        </w:tc>
      </w:tr>
      <w:tr w:rsidR="00FB609F" w:rsidRPr="009D4714" w14:paraId="26B9C4F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D293813" w14:textId="77777777" w:rsidR="00FB609F" w:rsidRPr="009D4714" w:rsidRDefault="00F62480" w:rsidP="00176397">
            <w:r w:rsidRPr="009D4714">
              <w:t xml:space="preserve">accesul </w:t>
            </w:r>
            <w:r w:rsidR="00176397" w:rsidRPr="009D4714">
              <w:t>ș</w:t>
            </w:r>
            <w:r w:rsidRPr="009D4714">
              <w:t>i calitatea serviciilor medicale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59062C"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4E9496"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A706B9" w14:textId="77777777" w:rsidR="00FB609F" w:rsidRPr="009D4714" w:rsidRDefault="00F62480" w:rsidP="00176397">
            <w:r w:rsidRPr="009D4714">
              <w:t> </w:t>
            </w:r>
          </w:p>
        </w:tc>
      </w:tr>
      <w:tr w:rsidR="00FB609F" w:rsidRPr="009D4714" w14:paraId="1806144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FC5344E" w14:textId="77777777" w:rsidR="00FB609F" w:rsidRPr="009D4714" w:rsidRDefault="00F62480" w:rsidP="00176397">
            <w:r w:rsidRPr="009D4714">
              <w:t xml:space="preserve">accesul </w:t>
            </w:r>
            <w:r w:rsidR="00176397" w:rsidRPr="009D4714">
              <w:t>ș</w:t>
            </w:r>
            <w:r w:rsidRPr="009D4714">
              <w:t>i calitatea serviciilor publice administrative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B747D9D"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03AB62"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AD27CAF" w14:textId="77777777" w:rsidR="00FB609F" w:rsidRPr="009D4714" w:rsidRDefault="00F62480" w:rsidP="00176397">
            <w:r w:rsidRPr="009D4714">
              <w:t> </w:t>
            </w:r>
          </w:p>
        </w:tc>
      </w:tr>
      <w:tr w:rsidR="00FB609F" w:rsidRPr="009D4714" w14:paraId="3A9FF11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C43AA73" w14:textId="77777777" w:rsidR="00FB609F" w:rsidRPr="009D4714" w:rsidRDefault="00F62480" w:rsidP="00176397">
            <w:r w:rsidRPr="009D4714">
              <w:t xml:space="preserve">nivelul </w:t>
            </w:r>
            <w:r w:rsidR="00176397" w:rsidRPr="009D4714">
              <w:t>ș</w:t>
            </w:r>
            <w:r w:rsidRPr="009D4714">
              <w:t>i calitatea educa</w:t>
            </w:r>
            <w:r w:rsidR="00176397" w:rsidRPr="009D4714">
              <w:t>ț</w:t>
            </w:r>
            <w:r w:rsidRPr="009D4714">
              <w:t>iei popula</w:t>
            </w:r>
            <w:r w:rsidR="00176397" w:rsidRPr="009D4714">
              <w:t>ț</w:t>
            </w:r>
            <w:r w:rsidRPr="009D4714">
              <w:t>iei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EED765"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7C9FA76"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9A4041" w14:textId="77777777" w:rsidR="00FB609F" w:rsidRPr="009D4714" w:rsidRDefault="00F62480" w:rsidP="00176397">
            <w:r w:rsidRPr="009D4714">
              <w:t> </w:t>
            </w:r>
          </w:p>
        </w:tc>
      </w:tr>
      <w:tr w:rsidR="00FB609F" w:rsidRPr="009D4714" w14:paraId="2304FD6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4F06296" w14:textId="77777777" w:rsidR="00FB609F" w:rsidRPr="009D4714" w:rsidRDefault="00F62480" w:rsidP="00176397">
            <w:r w:rsidRPr="009D4714">
              <w:t>conservarea patrimoniului cultural</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02D18F"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2E3636"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E29899" w14:textId="77777777" w:rsidR="00FB609F" w:rsidRPr="009D4714" w:rsidRDefault="00F62480" w:rsidP="00176397">
            <w:r w:rsidRPr="009D4714">
              <w:t> </w:t>
            </w:r>
          </w:p>
        </w:tc>
      </w:tr>
      <w:tr w:rsidR="00FB609F" w:rsidRPr="009D4714" w14:paraId="592EAD84"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7A0767" w14:textId="77777777" w:rsidR="00FB609F" w:rsidRPr="009D4714" w:rsidRDefault="00F62480" w:rsidP="00176397">
            <w:r w:rsidRPr="009D4714">
              <w:t>accesul popula</w:t>
            </w:r>
            <w:r w:rsidR="00176397" w:rsidRPr="009D4714">
              <w:t>ț</w:t>
            </w:r>
            <w:r w:rsidRPr="009D4714">
              <w:t xml:space="preserve">iei la resurse culturale </w:t>
            </w:r>
            <w:r w:rsidR="00176397" w:rsidRPr="009D4714">
              <w:t>ș</w:t>
            </w:r>
            <w:r w:rsidRPr="009D4714">
              <w:t>i participarea în manifesta</w:t>
            </w:r>
            <w:r w:rsidR="00176397" w:rsidRPr="009D4714">
              <w:t>ț</w:t>
            </w:r>
            <w:r w:rsidRPr="009D4714">
              <w:t>ii culturale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7AA9A0"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9CA233D"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AB692E8" w14:textId="77777777" w:rsidR="00FB609F" w:rsidRPr="009D4714" w:rsidRDefault="00F62480" w:rsidP="00176397">
            <w:r w:rsidRPr="009D4714">
              <w:t> </w:t>
            </w:r>
          </w:p>
        </w:tc>
      </w:tr>
      <w:tr w:rsidR="00FB609F" w:rsidRPr="009D4714" w14:paraId="201F98D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EC3759F" w14:textId="77777777" w:rsidR="00FB609F" w:rsidRPr="009D4714" w:rsidRDefault="00F62480" w:rsidP="00176397">
            <w:r w:rsidRPr="009D4714">
              <w:t xml:space="preserve">accesul </w:t>
            </w:r>
            <w:r w:rsidR="00176397" w:rsidRPr="009D4714">
              <w:t>ș</w:t>
            </w:r>
            <w:r w:rsidRPr="009D4714">
              <w:t>i participarea popula</w:t>
            </w:r>
            <w:r w:rsidR="00176397" w:rsidRPr="009D4714">
              <w:t>ț</w:t>
            </w:r>
            <w:r w:rsidRPr="009D4714">
              <w:t>iei în activită</w:t>
            </w:r>
            <w:r w:rsidR="00176397" w:rsidRPr="009D4714">
              <w:t>ț</w:t>
            </w:r>
            <w:r w:rsidRPr="009D4714">
              <w:t>i sportive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843857"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A724AE0"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AF7B73" w14:textId="77777777" w:rsidR="00FB609F" w:rsidRPr="009D4714" w:rsidRDefault="00F62480" w:rsidP="00176397">
            <w:r w:rsidRPr="009D4714">
              <w:t> </w:t>
            </w:r>
          </w:p>
        </w:tc>
      </w:tr>
      <w:tr w:rsidR="00FB609F" w:rsidRPr="009D4714" w14:paraId="758ACBCE"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737FE98" w14:textId="77777777" w:rsidR="00FB609F" w:rsidRPr="009D4714" w:rsidRDefault="00F62480" w:rsidP="00176397">
            <w:r w:rsidRPr="009D4714">
              <w:t>discriminarea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2F02C8"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88A8C59"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636F611" w14:textId="77777777" w:rsidR="00FB609F" w:rsidRPr="009D4714" w:rsidRDefault="00F62480" w:rsidP="00176397">
            <w:r w:rsidRPr="009D4714">
              <w:t> </w:t>
            </w:r>
          </w:p>
        </w:tc>
      </w:tr>
      <w:tr w:rsidR="00FB609F" w:rsidRPr="009D4714" w14:paraId="45A22B6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B991AC" w14:textId="77777777" w:rsidR="00FB609F" w:rsidRPr="009D4714" w:rsidRDefault="00F62480" w:rsidP="00176397">
            <w:r w:rsidRPr="009D4714">
              <w:t>alte aspecte sociale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2166CCB"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1588482" w14:textId="77777777" w:rsidR="00FB609F" w:rsidRPr="009D4714" w:rsidRDefault="00F62480"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E0441E" w14:textId="77777777" w:rsidR="00FB609F" w:rsidRPr="009D4714" w:rsidRDefault="00F62480" w:rsidP="00176397">
            <w:r w:rsidRPr="009D4714">
              <w:t> </w:t>
            </w:r>
          </w:p>
        </w:tc>
      </w:tr>
      <w:tr w:rsidR="00FB609F" w:rsidRPr="009D4714" w14:paraId="032044A6" w14:textId="77777777" w:rsidTr="00B02114">
        <w:tc>
          <w:tcPr>
            <w:tcW w:w="5654"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79672B6F" w14:textId="77777777" w:rsidR="00FB609F" w:rsidRPr="009D4714" w:rsidRDefault="00F62480" w:rsidP="00176397">
            <w:pPr>
              <w:rPr>
                <w:b/>
              </w:rPr>
            </w:pPr>
            <w:r w:rsidRPr="009D4714">
              <w:rPr>
                <w:b/>
              </w:rPr>
              <w:t>De mediu</w:t>
            </w:r>
          </w:p>
        </w:tc>
        <w:tc>
          <w:tcPr>
            <w:tcW w:w="1134"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5FA438E" w14:textId="77777777" w:rsidR="00FB609F" w:rsidRPr="009D4714" w:rsidRDefault="00FB609F" w:rsidP="00176397">
            <w:pPr>
              <w:jc w:val="center"/>
              <w:rPr>
                <w:b/>
              </w:rPr>
            </w:pPr>
          </w:p>
        </w:tc>
        <w:tc>
          <w:tcPr>
            <w:tcW w:w="141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CFE465F" w14:textId="77777777" w:rsidR="00FB609F" w:rsidRPr="009D4714" w:rsidRDefault="00FB609F" w:rsidP="00176397">
            <w:pPr>
              <w:rPr>
                <w:rFonts w:ascii="Calibri" w:eastAsia="Calibri" w:hAnsi="Calibri" w:cs="Calibri"/>
                <w:sz w:val="20"/>
                <w:szCs w:val="20"/>
              </w:rPr>
            </w:pPr>
          </w:p>
        </w:tc>
        <w:tc>
          <w:tcPr>
            <w:tcW w:w="1438"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1DE95A8" w14:textId="77777777" w:rsidR="00FB609F" w:rsidRPr="009D4714" w:rsidRDefault="00FB609F" w:rsidP="00176397">
            <w:pPr>
              <w:rPr>
                <w:rFonts w:ascii="Calibri" w:eastAsia="Calibri" w:hAnsi="Calibri" w:cs="Calibri"/>
                <w:sz w:val="20"/>
                <w:szCs w:val="20"/>
              </w:rPr>
            </w:pPr>
          </w:p>
        </w:tc>
      </w:tr>
      <w:tr w:rsidR="00FB609F" w:rsidRPr="009D4714" w14:paraId="68A8051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7F6361A" w14:textId="77777777" w:rsidR="00FB609F" w:rsidRPr="009D4714" w:rsidRDefault="00F62480" w:rsidP="00176397">
            <w:r w:rsidRPr="009D4714">
              <w:t xml:space="preserve">clima, inclusiv emisiile gazelor cu efect de seră </w:t>
            </w:r>
            <w:r w:rsidR="00176397" w:rsidRPr="009D4714">
              <w:t>ș</w:t>
            </w:r>
            <w:r w:rsidRPr="009D4714">
              <w:t>i celor care afectează stratul de ozon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B8633DB"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68009B4"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9010EF7" w14:textId="77777777" w:rsidR="00FB609F" w:rsidRPr="009D4714" w:rsidRDefault="00FB609F" w:rsidP="00176397"/>
        </w:tc>
      </w:tr>
      <w:tr w:rsidR="00FB609F" w:rsidRPr="009D4714" w14:paraId="646CD346"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0D89B74" w14:textId="77777777" w:rsidR="00FB609F" w:rsidRPr="009D4714" w:rsidRDefault="00F62480" w:rsidP="00176397">
            <w:r w:rsidRPr="009D4714">
              <w:t>calitatea aerului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D05EEC"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4D65CE6"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B6C33E" w14:textId="77777777" w:rsidR="00FB609F" w:rsidRPr="009D4714" w:rsidRDefault="00FB609F" w:rsidP="00176397"/>
        </w:tc>
      </w:tr>
      <w:tr w:rsidR="00FB609F" w:rsidRPr="009D4714" w14:paraId="07592329"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DF215A6" w14:textId="77777777" w:rsidR="00FB609F" w:rsidRPr="009D4714" w:rsidRDefault="00F62480" w:rsidP="00176397">
            <w:r w:rsidRPr="009D4714">
              <w:t xml:space="preserve">calitatea </w:t>
            </w:r>
            <w:r w:rsidR="00176397" w:rsidRPr="009D4714">
              <w:t>ș</w:t>
            </w:r>
            <w:r w:rsidRPr="009D4714">
              <w:t xml:space="preserve">i cantitatea apei </w:t>
            </w:r>
            <w:r w:rsidR="00176397" w:rsidRPr="009D4714">
              <w:t>ș</w:t>
            </w:r>
            <w:r w:rsidRPr="009D4714">
              <w:t xml:space="preserve">i resurselor acvatice, inclusiv a apei potabile </w:t>
            </w:r>
            <w:r w:rsidR="00176397" w:rsidRPr="009D4714">
              <w:t>ș</w:t>
            </w:r>
            <w:r w:rsidRPr="009D4714">
              <w:t>i de alt gen</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B354664"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5DA2FF0"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6DDA35" w14:textId="77777777" w:rsidR="00FB609F" w:rsidRPr="009D4714" w:rsidRDefault="00FB609F" w:rsidP="00176397"/>
        </w:tc>
      </w:tr>
      <w:tr w:rsidR="00FB609F" w:rsidRPr="009D4714" w14:paraId="56370C05"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1A691C6" w14:textId="77777777" w:rsidR="00FB609F" w:rsidRPr="009D4714" w:rsidRDefault="00F62480" w:rsidP="00176397">
            <w:r w:rsidRPr="009D4714">
              <w:t>biodiversitatea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32FD0B"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227DF8"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7475290" w14:textId="77777777" w:rsidR="00FB609F" w:rsidRPr="009D4714" w:rsidRDefault="00FB609F" w:rsidP="00176397"/>
        </w:tc>
      </w:tr>
      <w:tr w:rsidR="00FB609F" w:rsidRPr="009D4714" w14:paraId="39F1A53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D4EE04" w14:textId="77777777" w:rsidR="00FB609F" w:rsidRPr="009D4714" w:rsidRDefault="00F62480" w:rsidP="00176397">
            <w:r w:rsidRPr="009D4714">
              <w:t>flora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BBBCCE5"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B044EF"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B515333" w14:textId="77777777" w:rsidR="00FB609F" w:rsidRPr="009D4714" w:rsidRDefault="00FB609F" w:rsidP="00176397"/>
        </w:tc>
      </w:tr>
      <w:tr w:rsidR="00FB609F" w:rsidRPr="009D4714" w14:paraId="2A9A8F4B"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65C1915" w14:textId="77777777" w:rsidR="00FB609F" w:rsidRPr="009D4714" w:rsidRDefault="00F62480" w:rsidP="00176397">
            <w:r w:rsidRPr="009D4714">
              <w:t>fauna</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63AF5E6" w14:textId="77777777" w:rsidR="00FB609F" w:rsidRPr="009D4714" w:rsidRDefault="001F1C00"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F84607" w14:textId="77777777" w:rsidR="00FB609F" w:rsidRPr="009D4714" w:rsidRDefault="00FB609F" w:rsidP="00176397"/>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A373B4" w14:textId="77777777" w:rsidR="00FB609F" w:rsidRPr="009D4714" w:rsidRDefault="00FB609F" w:rsidP="00176397"/>
        </w:tc>
      </w:tr>
      <w:tr w:rsidR="005B76DD" w:rsidRPr="009D4714" w14:paraId="5C87E95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677EDFE" w14:textId="77777777" w:rsidR="005B76DD" w:rsidRPr="009D4714" w:rsidRDefault="005B76DD" w:rsidP="00176397">
            <w:r w:rsidRPr="009D4714">
              <w:t>peisajele naturale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F1D029"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4CB9925"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BF21FE" w14:textId="77777777" w:rsidR="005B76DD" w:rsidRPr="009D4714" w:rsidRDefault="005B76DD" w:rsidP="00176397">
            <w:r w:rsidRPr="009D4714">
              <w:t> </w:t>
            </w:r>
          </w:p>
        </w:tc>
      </w:tr>
      <w:tr w:rsidR="005B76DD" w:rsidRPr="009D4714" w14:paraId="43980E0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5105153" w14:textId="77777777" w:rsidR="005B76DD" w:rsidRPr="009D4714" w:rsidRDefault="005B76DD" w:rsidP="00176397">
            <w:r w:rsidRPr="009D4714">
              <w:t xml:space="preserve">starea </w:t>
            </w:r>
            <w:r w:rsidR="00176397" w:rsidRPr="009D4714">
              <w:t>ș</w:t>
            </w:r>
            <w:r w:rsidRPr="009D4714">
              <w:t>i resursele solului</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0CD45D"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3BCD41"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A3DE571" w14:textId="77777777" w:rsidR="005B76DD" w:rsidRPr="009D4714" w:rsidRDefault="005B76DD" w:rsidP="00176397">
            <w:r w:rsidRPr="009D4714">
              <w:t> </w:t>
            </w:r>
          </w:p>
        </w:tc>
      </w:tr>
      <w:tr w:rsidR="005B76DD" w:rsidRPr="009D4714" w14:paraId="5CFE0AEA"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B5FAEB6" w14:textId="77777777" w:rsidR="005B76DD" w:rsidRPr="009D4714" w:rsidRDefault="005B76DD" w:rsidP="00176397">
            <w:r w:rsidRPr="009D4714">
              <w:t xml:space="preserve">producerea </w:t>
            </w:r>
            <w:r w:rsidR="00176397" w:rsidRPr="009D4714">
              <w:t>ș</w:t>
            </w:r>
            <w:r w:rsidRPr="009D4714">
              <w:t>i reciclarea de</w:t>
            </w:r>
            <w:r w:rsidR="00176397" w:rsidRPr="009D4714">
              <w:t>ș</w:t>
            </w:r>
            <w:r w:rsidRPr="009D4714">
              <w:t>eurilor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BE597A"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17B839A"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A745C18" w14:textId="77777777" w:rsidR="005B76DD" w:rsidRPr="009D4714" w:rsidRDefault="005B76DD" w:rsidP="00176397">
            <w:r w:rsidRPr="009D4714">
              <w:t> </w:t>
            </w:r>
          </w:p>
        </w:tc>
      </w:tr>
      <w:tr w:rsidR="005B76DD" w:rsidRPr="009D4714" w14:paraId="67E3223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F5A4AD" w14:textId="77777777" w:rsidR="005B76DD" w:rsidRPr="009D4714" w:rsidRDefault="005B76DD" w:rsidP="00176397">
            <w:r w:rsidRPr="009D4714">
              <w:t xml:space="preserve">utilizarea eficientă a resurselor regenerabile </w:t>
            </w:r>
            <w:r w:rsidR="00176397" w:rsidRPr="009D4714">
              <w:t>ș</w:t>
            </w:r>
            <w:r w:rsidRPr="009D4714">
              <w:t>i neregenerabile</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BB4961" w14:textId="5EED1CEE" w:rsidR="005B76DD" w:rsidRPr="009D4714" w:rsidRDefault="00673776" w:rsidP="00176397">
            <w:pPr>
              <w:jc w:val="center"/>
            </w:pPr>
            <w:r>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5FAE17D"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A92452" w14:textId="77777777" w:rsidR="005B76DD" w:rsidRPr="009D4714" w:rsidRDefault="005B76DD" w:rsidP="00176397">
            <w:r w:rsidRPr="009D4714">
              <w:t> </w:t>
            </w:r>
          </w:p>
        </w:tc>
      </w:tr>
      <w:tr w:rsidR="005B76DD" w:rsidRPr="009D4714" w14:paraId="35BFF1D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FA3D227" w14:textId="77777777" w:rsidR="005B76DD" w:rsidRPr="009D4714" w:rsidRDefault="005B76DD" w:rsidP="00176397">
            <w:r w:rsidRPr="009D4714">
              <w:lastRenderedPageBreak/>
              <w:t xml:space="preserve">consumul </w:t>
            </w:r>
            <w:r w:rsidR="00176397" w:rsidRPr="009D4714">
              <w:t>ș</w:t>
            </w:r>
            <w:r w:rsidRPr="009D4714">
              <w:t>i produc</w:t>
            </w:r>
            <w:r w:rsidR="00176397" w:rsidRPr="009D4714">
              <w:t>ț</w:t>
            </w:r>
            <w:r w:rsidRPr="009D4714">
              <w:t>ia durabilă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AC1CA8F"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847FC2"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25E49B" w14:textId="77777777" w:rsidR="005B76DD" w:rsidRPr="009D4714" w:rsidRDefault="005B76DD" w:rsidP="00176397">
            <w:r w:rsidRPr="009D4714">
              <w:t> </w:t>
            </w:r>
          </w:p>
        </w:tc>
      </w:tr>
      <w:tr w:rsidR="005B76DD" w:rsidRPr="009D4714" w14:paraId="79DD7F1D"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FAC9ACC" w14:textId="77777777" w:rsidR="005B76DD" w:rsidRPr="009D4714" w:rsidRDefault="005B76DD" w:rsidP="00176397">
            <w:r w:rsidRPr="009D4714">
              <w:t>intensitatea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BBB3C9B"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910DE80"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34A653" w14:textId="77777777" w:rsidR="005B76DD" w:rsidRPr="009D4714" w:rsidRDefault="005B76DD" w:rsidP="00176397">
            <w:r w:rsidRPr="009D4714">
              <w:t> </w:t>
            </w:r>
          </w:p>
        </w:tc>
      </w:tr>
      <w:tr w:rsidR="005B76DD" w:rsidRPr="009D4714" w14:paraId="59C3CE5C"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16267E2" w14:textId="77777777" w:rsidR="005B76DD" w:rsidRPr="009D4714" w:rsidRDefault="005B76DD" w:rsidP="00176397">
            <w:r w:rsidRPr="009D4714">
              <w:t>eficien</w:t>
            </w:r>
            <w:r w:rsidR="00176397" w:rsidRPr="009D4714">
              <w:t>ț</w:t>
            </w:r>
            <w:r w:rsidRPr="009D4714">
              <w:t xml:space="preserve">a </w:t>
            </w:r>
            <w:r w:rsidR="00176397" w:rsidRPr="009D4714">
              <w:t>ș</w:t>
            </w:r>
            <w:r w:rsidRPr="009D4714">
              <w:t>i performan</w:t>
            </w:r>
            <w:r w:rsidR="00176397" w:rsidRPr="009D4714">
              <w:t>ț</w:t>
            </w:r>
            <w:r w:rsidRPr="009D4714">
              <w:t>a energetică</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3815C0"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A75FFC"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91A1C7D" w14:textId="77777777" w:rsidR="005B76DD" w:rsidRPr="009D4714" w:rsidRDefault="005B76DD" w:rsidP="00176397">
            <w:r w:rsidRPr="009D4714">
              <w:t> </w:t>
            </w:r>
          </w:p>
        </w:tc>
      </w:tr>
      <w:tr w:rsidR="005B76DD" w:rsidRPr="009D4714" w14:paraId="50E899E2"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7D08F4A" w14:textId="77777777" w:rsidR="005B76DD" w:rsidRPr="009D4714" w:rsidRDefault="005B76DD" w:rsidP="00176397">
            <w:r w:rsidRPr="009D4714">
              <w:t>bunăstarea animalelor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15EAFE"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E4D556"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BD90D85" w14:textId="77777777" w:rsidR="005B76DD" w:rsidRPr="009D4714" w:rsidRDefault="005B76DD" w:rsidP="00176397">
            <w:r w:rsidRPr="009D4714">
              <w:t> </w:t>
            </w:r>
          </w:p>
        </w:tc>
      </w:tr>
      <w:tr w:rsidR="005B76DD" w:rsidRPr="009D4714" w14:paraId="4F17FD88"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664429B" w14:textId="77777777" w:rsidR="005B76DD" w:rsidRPr="009D4714" w:rsidRDefault="005B76DD" w:rsidP="00176397">
            <w:r w:rsidRPr="009D4714">
              <w:t>riscuri majore pentru mediu (incendii, explozii, accidente etc.)</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F5BDD12"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3CCE30"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1BEC853" w14:textId="77777777" w:rsidR="005B76DD" w:rsidRPr="009D4714" w:rsidRDefault="005B76DD" w:rsidP="00176397">
            <w:r w:rsidRPr="009D4714">
              <w:t> </w:t>
            </w:r>
          </w:p>
        </w:tc>
      </w:tr>
      <w:tr w:rsidR="005B76DD" w:rsidRPr="009D4714" w14:paraId="326B8490"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6661B07" w14:textId="77777777" w:rsidR="005B76DD" w:rsidRPr="009D4714" w:rsidRDefault="005B76DD" w:rsidP="00176397">
            <w:r w:rsidRPr="009D4714">
              <w:t>utilizarea terenurilor</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627C676"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F5A4C9"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0BFA00A" w14:textId="77777777" w:rsidR="005B76DD" w:rsidRPr="009D4714" w:rsidRDefault="005B76DD" w:rsidP="00176397">
            <w:r w:rsidRPr="009D4714">
              <w:t> </w:t>
            </w:r>
          </w:p>
        </w:tc>
      </w:tr>
      <w:tr w:rsidR="005B76DD" w:rsidRPr="009D4714" w14:paraId="1C6CF441" w14:textId="77777777" w:rsidTr="00B02114">
        <w:tc>
          <w:tcPr>
            <w:tcW w:w="5654"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C9557D" w14:textId="77777777" w:rsidR="005B76DD" w:rsidRPr="009D4714" w:rsidRDefault="005B76DD" w:rsidP="00176397">
            <w:r w:rsidRPr="009D4714">
              <w:t>alte aspecte de mediu</w:t>
            </w:r>
          </w:p>
        </w:tc>
        <w:tc>
          <w:tcPr>
            <w:tcW w:w="1134"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E179B3" w14:textId="77777777" w:rsidR="005B76DD" w:rsidRPr="009D4714" w:rsidRDefault="005B76DD" w:rsidP="00176397">
            <w:pPr>
              <w:jc w:val="center"/>
            </w:pPr>
            <w:r w:rsidRPr="009D4714">
              <w:t>0</w:t>
            </w:r>
          </w:p>
        </w:tc>
        <w:tc>
          <w:tcPr>
            <w:tcW w:w="141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0680F8" w14:textId="77777777" w:rsidR="005B76DD" w:rsidRPr="009D4714" w:rsidRDefault="005B76DD" w:rsidP="00176397">
            <w:r w:rsidRPr="009D4714">
              <w:t> </w:t>
            </w:r>
          </w:p>
        </w:tc>
        <w:tc>
          <w:tcPr>
            <w:tcW w:w="1438"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8EAC19" w14:textId="77777777" w:rsidR="005B76DD" w:rsidRPr="009D4714" w:rsidRDefault="005B76DD" w:rsidP="00176397">
            <w:r w:rsidRPr="009D4714">
              <w:t> </w:t>
            </w:r>
          </w:p>
        </w:tc>
      </w:tr>
    </w:tbl>
    <w:p w14:paraId="1AE32BCB" w14:textId="77777777" w:rsidR="00FB609F" w:rsidRPr="009D4714" w:rsidRDefault="00F62480" w:rsidP="00176397">
      <w:pPr>
        <w:jc w:val="both"/>
      </w:pPr>
      <w:r w:rsidRPr="009D4714">
        <w:rPr>
          <w:i/>
        </w:rPr>
        <w:t>Tabelul se completează cu note de la -3 la +3,  în drept cu fiecare categorie de impact, pentru fiecare op</w:t>
      </w:r>
      <w:r w:rsidR="00176397" w:rsidRPr="009D4714">
        <w:rPr>
          <w:i/>
        </w:rPr>
        <w:t>ț</w:t>
      </w:r>
      <w:r w:rsidRPr="009D4714">
        <w:rPr>
          <w:i/>
        </w:rPr>
        <w:t>iune analizată, unde varia</w:t>
      </w:r>
      <w:r w:rsidR="00176397" w:rsidRPr="009D4714">
        <w:rPr>
          <w:i/>
        </w:rPr>
        <w:t>ț</w:t>
      </w:r>
      <w:r w:rsidRPr="009D4714">
        <w:rPr>
          <w:i/>
        </w:rPr>
        <w:t xml:space="preserve">ia între -3 </w:t>
      </w:r>
      <w:r w:rsidR="00176397" w:rsidRPr="009D4714">
        <w:rPr>
          <w:i/>
        </w:rPr>
        <w:t>ș</w:t>
      </w:r>
      <w:r w:rsidRPr="009D4714">
        <w:rPr>
          <w:i/>
        </w:rPr>
        <w:t>i -1 reprezintă impacturi negative (costuri), iar varia</w:t>
      </w:r>
      <w:r w:rsidR="00176397" w:rsidRPr="009D4714">
        <w:rPr>
          <w:i/>
        </w:rPr>
        <w:t>ț</w:t>
      </w:r>
      <w:r w:rsidRPr="009D4714">
        <w:rPr>
          <w:i/>
        </w:rPr>
        <w:t xml:space="preserve">ia între 1 </w:t>
      </w:r>
      <w:r w:rsidR="00176397" w:rsidRPr="009D4714">
        <w:rPr>
          <w:i/>
        </w:rPr>
        <w:t>ș</w:t>
      </w:r>
      <w:r w:rsidRPr="009D4714">
        <w:rPr>
          <w:i/>
        </w:rPr>
        <w:t>i 3 – impacturi pozitive (beneficii) pentru categoriile de impact analizate. Nota 0 reprezintă lipsa impacturilor. Valoarea acordată corespunde cu intensitatea impactului (1 – minor, 2 – mediu, 3 – major) fa</w:t>
      </w:r>
      <w:r w:rsidR="00176397" w:rsidRPr="009D4714">
        <w:rPr>
          <w:i/>
        </w:rPr>
        <w:t>ț</w:t>
      </w:r>
      <w:r w:rsidRPr="009D4714">
        <w:rPr>
          <w:i/>
        </w:rPr>
        <w:t>ă de situa</w:t>
      </w:r>
      <w:r w:rsidR="00176397" w:rsidRPr="009D4714">
        <w:rPr>
          <w:i/>
        </w:rPr>
        <w:t>ț</w:t>
      </w:r>
      <w:r w:rsidRPr="009D4714">
        <w:rPr>
          <w:i/>
        </w:rPr>
        <w:t>ia din op</w:t>
      </w:r>
      <w:r w:rsidR="00176397" w:rsidRPr="009D4714">
        <w:rPr>
          <w:i/>
        </w:rPr>
        <w:t>ț</w:t>
      </w:r>
      <w:r w:rsidRPr="009D4714">
        <w:rPr>
          <w:i/>
        </w:rPr>
        <w:t>iunea „a nu face nimic”,  în compara</w:t>
      </w:r>
      <w:r w:rsidR="00176397" w:rsidRPr="009D4714">
        <w:rPr>
          <w:i/>
        </w:rPr>
        <w:t>ț</w:t>
      </w:r>
      <w:r w:rsidRPr="009D4714">
        <w:rPr>
          <w:i/>
        </w:rPr>
        <w:t>ie cu situa</w:t>
      </w:r>
      <w:r w:rsidR="00176397" w:rsidRPr="009D4714">
        <w:rPr>
          <w:i/>
        </w:rPr>
        <w:t>ț</w:t>
      </w:r>
      <w:r w:rsidRPr="009D4714">
        <w:rPr>
          <w:i/>
        </w:rPr>
        <w:t>ia din alte op</w:t>
      </w:r>
      <w:r w:rsidR="00176397" w:rsidRPr="009D4714">
        <w:rPr>
          <w:i/>
        </w:rPr>
        <w:t>ț</w:t>
      </w:r>
      <w:r w:rsidRPr="009D4714">
        <w:rPr>
          <w:i/>
        </w:rPr>
        <w:t xml:space="preserve">iuni </w:t>
      </w:r>
      <w:r w:rsidR="00176397" w:rsidRPr="009D4714">
        <w:rPr>
          <w:i/>
        </w:rPr>
        <w:t>ș</w:t>
      </w:r>
      <w:r w:rsidRPr="009D4714">
        <w:rPr>
          <w:i/>
        </w:rPr>
        <w:t>i alte categorii de impact. Impacturile identificate prin acest tabel se descriu pe larg, cu argumentarea punctajului acordat, inclusiv prin date cuantificate, în compartimentul 4 din Formular, lit. b</w:t>
      </w:r>
      <w:r w:rsidRPr="009D4714">
        <w:rPr>
          <w:i/>
          <w:vertAlign w:val="superscript"/>
        </w:rPr>
        <w:t>1</w:t>
      </w:r>
      <w:r w:rsidRPr="009D4714">
        <w:rPr>
          <w:i/>
        </w:rPr>
        <w:t xml:space="preserve">) </w:t>
      </w:r>
      <w:r w:rsidR="00176397" w:rsidRPr="009D4714">
        <w:rPr>
          <w:i/>
        </w:rPr>
        <w:t>ș</w:t>
      </w:r>
      <w:r w:rsidRPr="009D4714">
        <w:rPr>
          <w:i/>
        </w:rPr>
        <w:t>i, după caz,  b</w:t>
      </w:r>
      <w:r w:rsidRPr="009D4714">
        <w:rPr>
          <w:i/>
          <w:vertAlign w:val="superscript"/>
        </w:rPr>
        <w:t>2</w:t>
      </w:r>
      <w:r w:rsidRPr="009D4714">
        <w:rPr>
          <w:i/>
        </w:rPr>
        <w:t>), privind analiza impacturilor op</w:t>
      </w:r>
      <w:r w:rsidR="00176397" w:rsidRPr="009D4714">
        <w:rPr>
          <w:i/>
        </w:rPr>
        <w:t>ț</w:t>
      </w:r>
      <w:r w:rsidRPr="009D4714">
        <w:rPr>
          <w:i/>
        </w:rPr>
        <w:t>iunilor.</w:t>
      </w:r>
    </w:p>
    <w:p w14:paraId="1813DDD8" w14:textId="77777777" w:rsidR="00FB609F" w:rsidRPr="009D4714" w:rsidRDefault="00FB609F" w:rsidP="00176397">
      <w:pPr>
        <w:tabs>
          <w:tab w:val="left" w:pos="0"/>
          <w:tab w:val="left" w:pos="284"/>
        </w:tabs>
        <w:jc w:val="both"/>
        <w:rPr>
          <w:highlight w:val="yellow"/>
        </w:rPr>
      </w:pPr>
    </w:p>
    <w:sectPr w:rsidR="00FB609F" w:rsidRPr="009D4714">
      <w:footerReference w:type="even" r:id="rId11"/>
      <w:footerReference w:type="default" r:id="rId12"/>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B121" w14:textId="77777777" w:rsidR="00241A1B" w:rsidRDefault="00241A1B">
      <w:r>
        <w:separator/>
      </w:r>
    </w:p>
  </w:endnote>
  <w:endnote w:type="continuationSeparator" w:id="0">
    <w:p w14:paraId="240D7D5C" w14:textId="77777777" w:rsidR="00241A1B" w:rsidRDefault="0024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2CBE" w14:textId="77777777" w:rsidR="005E5606" w:rsidRDefault="005E560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659656F4" w14:textId="77777777" w:rsidR="005E5606" w:rsidRDefault="005E5606">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4D96" w14:textId="1DD4BD80" w:rsidR="005E5606" w:rsidRDefault="005E560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A23A9">
      <w:rPr>
        <w:noProof/>
        <w:color w:val="000000"/>
      </w:rPr>
      <w:t>20</w:t>
    </w:r>
    <w:r>
      <w:rPr>
        <w:color w:val="000000"/>
      </w:rPr>
      <w:fldChar w:fldCharType="end"/>
    </w:r>
  </w:p>
  <w:p w14:paraId="001243D2" w14:textId="77777777" w:rsidR="005E5606" w:rsidRDefault="005E5606">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B47B" w14:textId="77777777" w:rsidR="00241A1B" w:rsidRDefault="00241A1B">
      <w:r>
        <w:separator/>
      </w:r>
    </w:p>
  </w:footnote>
  <w:footnote w:type="continuationSeparator" w:id="0">
    <w:p w14:paraId="2B4133BD" w14:textId="77777777" w:rsidR="00241A1B" w:rsidRDefault="00241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3B2"/>
    <w:multiLevelType w:val="hybridMultilevel"/>
    <w:tmpl w:val="A192D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E49AE"/>
    <w:multiLevelType w:val="hybridMultilevel"/>
    <w:tmpl w:val="C236272E"/>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 w15:restartNumberingAfterBreak="0">
    <w:nsid w:val="0589016B"/>
    <w:multiLevelType w:val="hybridMultilevel"/>
    <w:tmpl w:val="F8544678"/>
    <w:lvl w:ilvl="0" w:tplc="E066335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61202F2"/>
    <w:multiLevelType w:val="hybridMultilevel"/>
    <w:tmpl w:val="31A26646"/>
    <w:lvl w:ilvl="0" w:tplc="E2B257F8">
      <w:start w:val="1"/>
      <w:numFmt w:val="decimal"/>
      <w:lvlText w:val="%1)"/>
      <w:lvlJc w:val="left"/>
      <w:pPr>
        <w:ind w:left="928" w:hanging="360"/>
      </w:pPr>
    </w:lvl>
    <w:lvl w:ilvl="1" w:tplc="04090019">
      <w:start w:val="1"/>
      <w:numFmt w:val="lowerLetter"/>
      <w:lvlText w:val="%2."/>
      <w:lvlJc w:val="left"/>
      <w:pPr>
        <w:ind w:left="3142" w:hanging="360"/>
      </w:pPr>
    </w:lvl>
    <w:lvl w:ilvl="2" w:tplc="0409001B">
      <w:start w:val="1"/>
      <w:numFmt w:val="lowerRoman"/>
      <w:lvlText w:val="%3."/>
      <w:lvlJc w:val="right"/>
      <w:pPr>
        <w:ind w:left="3862" w:hanging="180"/>
      </w:pPr>
    </w:lvl>
    <w:lvl w:ilvl="3" w:tplc="0409000F">
      <w:start w:val="1"/>
      <w:numFmt w:val="decimal"/>
      <w:lvlText w:val="%4."/>
      <w:lvlJc w:val="left"/>
      <w:pPr>
        <w:ind w:left="4582" w:hanging="360"/>
      </w:pPr>
    </w:lvl>
    <w:lvl w:ilvl="4" w:tplc="04090019">
      <w:start w:val="1"/>
      <w:numFmt w:val="lowerLetter"/>
      <w:lvlText w:val="%5."/>
      <w:lvlJc w:val="left"/>
      <w:pPr>
        <w:ind w:left="5302" w:hanging="360"/>
      </w:pPr>
    </w:lvl>
    <w:lvl w:ilvl="5" w:tplc="0409001B">
      <w:start w:val="1"/>
      <w:numFmt w:val="lowerRoman"/>
      <w:lvlText w:val="%6."/>
      <w:lvlJc w:val="right"/>
      <w:pPr>
        <w:ind w:left="6022" w:hanging="180"/>
      </w:pPr>
    </w:lvl>
    <w:lvl w:ilvl="6" w:tplc="0409000F">
      <w:start w:val="1"/>
      <w:numFmt w:val="decimal"/>
      <w:lvlText w:val="%7."/>
      <w:lvlJc w:val="left"/>
      <w:pPr>
        <w:ind w:left="6742" w:hanging="360"/>
      </w:pPr>
    </w:lvl>
    <w:lvl w:ilvl="7" w:tplc="04090019">
      <w:start w:val="1"/>
      <w:numFmt w:val="lowerLetter"/>
      <w:lvlText w:val="%8."/>
      <w:lvlJc w:val="left"/>
      <w:pPr>
        <w:ind w:left="7462" w:hanging="360"/>
      </w:pPr>
    </w:lvl>
    <w:lvl w:ilvl="8" w:tplc="0409001B">
      <w:start w:val="1"/>
      <w:numFmt w:val="lowerRoman"/>
      <w:lvlText w:val="%9."/>
      <w:lvlJc w:val="right"/>
      <w:pPr>
        <w:ind w:left="8182" w:hanging="180"/>
      </w:pPr>
    </w:lvl>
  </w:abstractNum>
  <w:abstractNum w:abstractNumId="4" w15:restartNumberingAfterBreak="0">
    <w:nsid w:val="09BD4F4F"/>
    <w:multiLevelType w:val="hybridMultilevel"/>
    <w:tmpl w:val="8BE6733A"/>
    <w:lvl w:ilvl="0" w:tplc="04090017">
      <w:start w:val="1"/>
      <w:numFmt w:val="lowerLetter"/>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5" w15:restartNumberingAfterBreak="0">
    <w:nsid w:val="0CF5470C"/>
    <w:multiLevelType w:val="multilevel"/>
    <w:tmpl w:val="D3BE9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B030C"/>
    <w:multiLevelType w:val="hybridMultilevel"/>
    <w:tmpl w:val="CDE213B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7" w15:restartNumberingAfterBreak="0">
    <w:nsid w:val="15E2415C"/>
    <w:multiLevelType w:val="hybridMultilevel"/>
    <w:tmpl w:val="B32E7308"/>
    <w:lvl w:ilvl="0" w:tplc="9A58A694">
      <w:start w:val="3"/>
      <w:numFmt w:val="decimal"/>
      <w:lvlText w:val="%1."/>
      <w:lvlJc w:val="left"/>
      <w:pPr>
        <w:ind w:left="116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355B"/>
    <w:multiLevelType w:val="hybridMultilevel"/>
    <w:tmpl w:val="286C31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B3C73A2"/>
    <w:multiLevelType w:val="hybridMultilevel"/>
    <w:tmpl w:val="BE2E91BC"/>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 w15:restartNumberingAfterBreak="0">
    <w:nsid w:val="25723BDA"/>
    <w:multiLevelType w:val="hybridMultilevel"/>
    <w:tmpl w:val="A2AE667A"/>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1" w15:restartNumberingAfterBreak="0">
    <w:nsid w:val="2B190BF8"/>
    <w:multiLevelType w:val="multilevel"/>
    <w:tmpl w:val="C5DAD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D428F"/>
    <w:multiLevelType w:val="hybridMultilevel"/>
    <w:tmpl w:val="5808B2C8"/>
    <w:lvl w:ilvl="0" w:tplc="8BD4D644">
      <w:start w:val="1"/>
      <w:numFmt w:val="decimal"/>
      <w:lvlText w:val="%1."/>
      <w:lvlJc w:val="left"/>
      <w:pPr>
        <w:ind w:left="1167" w:hanging="360"/>
      </w:pPr>
      <w:rPr>
        <w:b/>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3" w15:restartNumberingAfterBreak="0">
    <w:nsid w:val="31AE1D1D"/>
    <w:multiLevelType w:val="hybridMultilevel"/>
    <w:tmpl w:val="49E0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101E6"/>
    <w:multiLevelType w:val="hybridMultilevel"/>
    <w:tmpl w:val="1B8E6EA0"/>
    <w:lvl w:ilvl="0" w:tplc="00F06C24">
      <w:numFmt w:val="bullet"/>
      <w:lvlText w:val="-"/>
      <w:lvlJc w:val="left"/>
      <w:pPr>
        <w:ind w:left="1129" w:hanging="360"/>
      </w:pPr>
      <w:rPr>
        <w:rFonts w:ascii="Times New Roman" w:eastAsiaTheme="minorHAnsi" w:hAnsi="Times New Roman" w:cs="Times New Roman" w:hint="default"/>
        <w:color w:val="auto"/>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5" w15:restartNumberingAfterBreak="0">
    <w:nsid w:val="34112B91"/>
    <w:multiLevelType w:val="hybridMultilevel"/>
    <w:tmpl w:val="1ECAAFF2"/>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6" w15:restartNumberingAfterBreak="0">
    <w:nsid w:val="3595452B"/>
    <w:multiLevelType w:val="hybridMultilevel"/>
    <w:tmpl w:val="BE2E91BC"/>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7" w15:restartNumberingAfterBreak="0">
    <w:nsid w:val="367433BF"/>
    <w:multiLevelType w:val="hybridMultilevel"/>
    <w:tmpl w:val="EBC219A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3DAD43A8"/>
    <w:multiLevelType w:val="hybridMultilevel"/>
    <w:tmpl w:val="0D829430"/>
    <w:lvl w:ilvl="0" w:tplc="6E067A8E">
      <w:start w:val="1"/>
      <w:numFmt w:val="decimal"/>
      <w:lvlText w:val="%1."/>
      <w:lvlJc w:val="left"/>
      <w:pPr>
        <w:ind w:left="2062" w:hanging="360"/>
      </w:pPr>
      <w:rPr>
        <w:b/>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9" w15:restartNumberingAfterBreak="0">
    <w:nsid w:val="3F0A1FE7"/>
    <w:multiLevelType w:val="hybridMultilevel"/>
    <w:tmpl w:val="1AB6138C"/>
    <w:lvl w:ilvl="0" w:tplc="04090001">
      <w:start w:val="1"/>
      <w:numFmt w:val="bullet"/>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20" w15:restartNumberingAfterBreak="0">
    <w:nsid w:val="44193A6E"/>
    <w:multiLevelType w:val="hybridMultilevel"/>
    <w:tmpl w:val="1494CF14"/>
    <w:lvl w:ilvl="0" w:tplc="B76A1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B2430"/>
    <w:multiLevelType w:val="hybridMultilevel"/>
    <w:tmpl w:val="AF4C858A"/>
    <w:lvl w:ilvl="0" w:tplc="11E02E9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537874A8"/>
    <w:multiLevelType w:val="hybridMultilevel"/>
    <w:tmpl w:val="309E7E26"/>
    <w:lvl w:ilvl="0" w:tplc="791A51C0">
      <w:start w:val="4"/>
      <w:numFmt w:val="decimal"/>
      <w:lvlText w:val="%1."/>
      <w:lvlJc w:val="left"/>
      <w:pPr>
        <w:ind w:left="14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E7DAA"/>
    <w:multiLevelType w:val="hybridMultilevel"/>
    <w:tmpl w:val="86864A38"/>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4" w15:restartNumberingAfterBreak="0">
    <w:nsid w:val="5FCB44E2"/>
    <w:multiLevelType w:val="hybridMultilevel"/>
    <w:tmpl w:val="FABC9178"/>
    <w:lvl w:ilvl="0" w:tplc="04180001">
      <w:start w:val="1"/>
      <w:numFmt w:val="bullet"/>
      <w:lvlText w:val=""/>
      <w:lvlJc w:val="left"/>
      <w:pPr>
        <w:ind w:left="720" w:hanging="360"/>
      </w:pPr>
      <w:rPr>
        <w:rFonts w:ascii="Symbol" w:hAnsi="Symbol" w:hint="default"/>
      </w:rPr>
    </w:lvl>
    <w:lvl w:ilvl="1" w:tplc="0D049EB8">
      <w:numFmt w:val="bullet"/>
      <w:lvlText w:val="-"/>
      <w:lvlJc w:val="left"/>
      <w:pPr>
        <w:ind w:left="1440" w:hanging="360"/>
      </w:pPr>
      <w:rPr>
        <w:rFonts w:ascii="Times New Roman" w:eastAsia="Batang"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CD4FAC"/>
    <w:multiLevelType w:val="hybridMultilevel"/>
    <w:tmpl w:val="A222A286"/>
    <w:lvl w:ilvl="0" w:tplc="752CB8C2">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AD07A6D"/>
    <w:multiLevelType w:val="hybridMultilevel"/>
    <w:tmpl w:val="52C821A0"/>
    <w:lvl w:ilvl="0" w:tplc="CDAE46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06641B9"/>
    <w:multiLevelType w:val="hybridMultilevel"/>
    <w:tmpl w:val="2488CE64"/>
    <w:lvl w:ilvl="0" w:tplc="04180017">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8" w15:restartNumberingAfterBreak="0">
    <w:nsid w:val="71C43299"/>
    <w:multiLevelType w:val="hybridMultilevel"/>
    <w:tmpl w:val="908A6D6E"/>
    <w:lvl w:ilvl="0" w:tplc="E0663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21C28"/>
    <w:multiLevelType w:val="hybridMultilevel"/>
    <w:tmpl w:val="1494CF14"/>
    <w:lvl w:ilvl="0" w:tplc="B76A1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B05F6"/>
    <w:multiLevelType w:val="hybridMultilevel"/>
    <w:tmpl w:val="4A5AEF6A"/>
    <w:lvl w:ilvl="0" w:tplc="3BE40962">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C785D7F"/>
    <w:multiLevelType w:val="hybridMultilevel"/>
    <w:tmpl w:val="A80669C4"/>
    <w:lvl w:ilvl="0" w:tplc="04090017">
      <w:start w:val="1"/>
      <w:numFmt w:val="lowerLetter"/>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2" w15:restartNumberingAfterBreak="0">
    <w:nsid w:val="7CB464BB"/>
    <w:multiLevelType w:val="multilevel"/>
    <w:tmpl w:val="7174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2"/>
  </w:num>
  <w:num w:numId="3">
    <w:abstractNumId w:val="25"/>
  </w:num>
  <w:num w:numId="4">
    <w:abstractNumId w:val="26"/>
  </w:num>
  <w:num w:numId="5">
    <w:abstractNumId w:val="24"/>
  </w:num>
  <w:num w:numId="6">
    <w:abstractNumId w:val="29"/>
  </w:num>
  <w:num w:numId="7">
    <w:abstractNumId w:val="0"/>
  </w:num>
  <w:num w:numId="8">
    <w:abstractNumId w:val="14"/>
  </w:num>
  <w:num w:numId="9">
    <w:abstractNumId w:val="21"/>
  </w:num>
  <w:num w:numId="10">
    <w:abstractNumId w:val="2"/>
  </w:num>
  <w:num w:numId="11">
    <w:abstractNumId w:val="27"/>
  </w:num>
  <w:num w:numId="12">
    <w:abstractNumId w:val="2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0"/>
  </w:num>
  <w:num w:numId="25">
    <w:abstractNumId w:val="9"/>
  </w:num>
  <w:num w:numId="26">
    <w:abstractNumId w:val="16"/>
  </w:num>
  <w:num w:numId="27">
    <w:abstractNumId w:val="4"/>
  </w:num>
  <w:num w:numId="28">
    <w:abstractNumId w:val="6"/>
  </w:num>
  <w:num w:numId="29">
    <w:abstractNumId w:val="19"/>
  </w:num>
  <w:num w:numId="30">
    <w:abstractNumId w:val="23"/>
  </w:num>
  <w:num w:numId="31">
    <w:abstractNumId w:val="15"/>
  </w:num>
  <w:num w:numId="32">
    <w:abstractNumId w:val="17"/>
  </w:num>
  <w:num w:numId="33">
    <w:abstractNumId w:val="1"/>
  </w:num>
  <w:num w:numId="34">
    <w:abstractNumId w:val="8"/>
  </w:num>
  <w:num w:numId="35">
    <w:abstractNumId w:val="12"/>
  </w:num>
  <w:num w:numId="36">
    <w:abstractNumId w:val="31"/>
  </w:num>
  <w:num w:numId="37">
    <w:abstractNumId w:val="13"/>
  </w:num>
  <w:num w:numId="38">
    <w:abstractNumId w:val="10"/>
  </w:num>
  <w:num w:numId="39">
    <w:abstractNumId w:val="22"/>
  </w:num>
  <w:num w:numId="40">
    <w:abstractNumId w:val="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F"/>
    <w:rsid w:val="000004C3"/>
    <w:rsid w:val="000007C4"/>
    <w:rsid w:val="000018A2"/>
    <w:rsid w:val="00002112"/>
    <w:rsid w:val="0000388E"/>
    <w:rsid w:val="00003EF7"/>
    <w:rsid w:val="0000426D"/>
    <w:rsid w:val="0000529E"/>
    <w:rsid w:val="00005CA1"/>
    <w:rsid w:val="000065F2"/>
    <w:rsid w:val="000117E9"/>
    <w:rsid w:val="00011EA1"/>
    <w:rsid w:val="00016D4C"/>
    <w:rsid w:val="0002202E"/>
    <w:rsid w:val="00022659"/>
    <w:rsid w:val="00022C20"/>
    <w:rsid w:val="00023726"/>
    <w:rsid w:val="0002437C"/>
    <w:rsid w:val="000255A9"/>
    <w:rsid w:val="0002674C"/>
    <w:rsid w:val="0002753D"/>
    <w:rsid w:val="000277AC"/>
    <w:rsid w:val="000354CF"/>
    <w:rsid w:val="00037F2F"/>
    <w:rsid w:val="000430CC"/>
    <w:rsid w:val="00043CDF"/>
    <w:rsid w:val="00044D43"/>
    <w:rsid w:val="00045300"/>
    <w:rsid w:val="0004656E"/>
    <w:rsid w:val="00046636"/>
    <w:rsid w:val="0005023E"/>
    <w:rsid w:val="00050D69"/>
    <w:rsid w:val="00054A9A"/>
    <w:rsid w:val="00055B43"/>
    <w:rsid w:val="00060A24"/>
    <w:rsid w:val="00063283"/>
    <w:rsid w:val="000644DC"/>
    <w:rsid w:val="000656D4"/>
    <w:rsid w:val="00067CDE"/>
    <w:rsid w:val="00070660"/>
    <w:rsid w:val="0007087C"/>
    <w:rsid w:val="00072D2A"/>
    <w:rsid w:val="00072D3A"/>
    <w:rsid w:val="00073181"/>
    <w:rsid w:val="00073244"/>
    <w:rsid w:val="00074C20"/>
    <w:rsid w:val="00075922"/>
    <w:rsid w:val="000777A4"/>
    <w:rsid w:val="00080C03"/>
    <w:rsid w:val="0008350E"/>
    <w:rsid w:val="00083A6F"/>
    <w:rsid w:val="00087E91"/>
    <w:rsid w:val="00090367"/>
    <w:rsid w:val="00093206"/>
    <w:rsid w:val="000939C2"/>
    <w:rsid w:val="000945A9"/>
    <w:rsid w:val="00095969"/>
    <w:rsid w:val="00095D21"/>
    <w:rsid w:val="000964F3"/>
    <w:rsid w:val="00096B06"/>
    <w:rsid w:val="000A0E57"/>
    <w:rsid w:val="000A1967"/>
    <w:rsid w:val="000A271D"/>
    <w:rsid w:val="000A39DB"/>
    <w:rsid w:val="000A5C85"/>
    <w:rsid w:val="000B0F70"/>
    <w:rsid w:val="000B18B8"/>
    <w:rsid w:val="000B221F"/>
    <w:rsid w:val="000B4806"/>
    <w:rsid w:val="000B4E3F"/>
    <w:rsid w:val="000B5A11"/>
    <w:rsid w:val="000B7B27"/>
    <w:rsid w:val="000C2758"/>
    <w:rsid w:val="000C2B3A"/>
    <w:rsid w:val="000C3FEF"/>
    <w:rsid w:val="000C47C8"/>
    <w:rsid w:val="000C4DD5"/>
    <w:rsid w:val="000C568D"/>
    <w:rsid w:val="000C5C9D"/>
    <w:rsid w:val="000C6E3E"/>
    <w:rsid w:val="000D22F5"/>
    <w:rsid w:val="000D627F"/>
    <w:rsid w:val="000D6947"/>
    <w:rsid w:val="000D69FC"/>
    <w:rsid w:val="000D6CC0"/>
    <w:rsid w:val="000E123E"/>
    <w:rsid w:val="000E3C3E"/>
    <w:rsid w:val="000E6D77"/>
    <w:rsid w:val="000F0AD4"/>
    <w:rsid w:val="000F3A9A"/>
    <w:rsid w:val="000F50C4"/>
    <w:rsid w:val="000F5382"/>
    <w:rsid w:val="000F5F6D"/>
    <w:rsid w:val="000F76D9"/>
    <w:rsid w:val="001032A7"/>
    <w:rsid w:val="00104219"/>
    <w:rsid w:val="0010620E"/>
    <w:rsid w:val="00112891"/>
    <w:rsid w:val="001164E7"/>
    <w:rsid w:val="00117781"/>
    <w:rsid w:val="00120751"/>
    <w:rsid w:val="00120D54"/>
    <w:rsid w:val="00121E36"/>
    <w:rsid w:val="001226F7"/>
    <w:rsid w:val="00123226"/>
    <w:rsid w:val="001244E4"/>
    <w:rsid w:val="00124CAF"/>
    <w:rsid w:val="00124E46"/>
    <w:rsid w:val="00127CC8"/>
    <w:rsid w:val="00130A47"/>
    <w:rsid w:val="0013232C"/>
    <w:rsid w:val="001347F9"/>
    <w:rsid w:val="00135230"/>
    <w:rsid w:val="0013589A"/>
    <w:rsid w:val="00141420"/>
    <w:rsid w:val="001414BE"/>
    <w:rsid w:val="00143E7A"/>
    <w:rsid w:val="00145382"/>
    <w:rsid w:val="00145E09"/>
    <w:rsid w:val="00145F1B"/>
    <w:rsid w:val="00150638"/>
    <w:rsid w:val="00151592"/>
    <w:rsid w:val="001532B8"/>
    <w:rsid w:val="00155BAF"/>
    <w:rsid w:val="0015708B"/>
    <w:rsid w:val="001573B7"/>
    <w:rsid w:val="0016039E"/>
    <w:rsid w:val="00162DF7"/>
    <w:rsid w:val="0016384F"/>
    <w:rsid w:val="001646B2"/>
    <w:rsid w:val="001646F8"/>
    <w:rsid w:val="001663EE"/>
    <w:rsid w:val="001727C5"/>
    <w:rsid w:val="00174F0A"/>
    <w:rsid w:val="00176397"/>
    <w:rsid w:val="00176BE5"/>
    <w:rsid w:val="00177F84"/>
    <w:rsid w:val="00180F5F"/>
    <w:rsid w:val="0018329D"/>
    <w:rsid w:val="00191E96"/>
    <w:rsid w:val="00193B9B"/>
    <w:rsid w:val="00193C6B"/>
    <w:rsid w:val="00196110"/>
    <w:rsid w:val="0019798D"/>
    <w:rsid w:val="001A0B39"/>
    <w:rsid w:val="001A23A9"/>
    <w:rsid w:val="001A40A0"/>
    <w:rsid w:val="001B2035"/>
    <w:rsid w:val="001B2396"/>
    <w:rsid w:val="001B6D65"/>
    <w:rsid w:val="001B6EE8"/>
    <w:rsid w:val="001B75BD"/>
    <w:rsid w:val="001C025D"/>
    <w:rsid w:val="001C18B3"/>
    <w:rsid w:val="001C22F6"/>
    <w:rsid w:val="001C28B7"/>
    <w:rsid w:val="001C33A4"/>
    <w:rsid w:val="001C3695"/>
    <w:rsid w:val="001C5126"/>
    <w:rsid w:val="001C73A2"/>
    <w:rsid w:val="001D046E"/>
    <w:rsid w:val="001D52D5"/>
    <w:rsid w:val="001E032A"/>
    <w:rsid w:val="001E54A4"/>
    <w:rsid w:val="001E54BE"/>
    <w:rsid w:val="001E5D65"/>
    <w:rsid w:val="001E66B8"/>
    <w:rsid w:val="001F0589"/>
    <w:rsid w:val="001F1C00"/>
    <w:rsid w:val="001F7E6E"/>
    <w:rsid w:val="00200084"/>
    <w:rsid w:val="00203692"/>
    <w:rsid w:val="002039EA"/>
    <w:rsid w:val="002042F7"/>
    <w:rsid w:val="002048E9"/>
    <w:rsid w:val="002070C1"/>
    <w:rsid w:val="00213702"/>
    <w:rsid w:val="00214C66"/>
    <w:rsid w:val="002154AB"/>
    <w:rsid w:val="00216324"/>
    <w:rsid w:val="00216A46"/>
    <w:rsid w:val="0022073A"/>
    <w:rsid w:val="00220B1B"/>
    <w:rsid w:val="00221646"/>
    <w:rsid w:val="00226E46"/>
    <w:rsid w:val="00226FFD"/>
    <w:rsid w:val="00232956"/>
    <w:rsid w:val="002337A2"/>
    <w:rsid w:val="00237285"/>
    <w:rsid w:val="002374F2"/>
    <w:rsid w:val="00241A1B"/>
    <w:rsid w:val="00242F92"/>
    <w:rsid w:val="00243B8C"/>
    <w:rsid w:val="00244406"/>
    <w:rsid w:val="00244647"/>
    <w:rsid w:val="00245461"/>
    <w:rsid w:val="00245A92"/>
    <w:rsid w:val="0024657A"/>
    <w:rsid w:val="00247169"/>
    <w:rsid w:val="002475E7"/>
    <w:rsid w:val="00247ECB"/>
    <w:rsid w:val="00250091"/>
    <w:rsid w:val="002525FF"/>
    <w:rsid w:val="0025279A"/>
    <w:rsid w:val="00253495"/>
    <w:rsid w:val="0025384A"/>
    <w:rsid w:val="0026209A"/>
    <w:rsid w:val="002722D2"/>
    <w:rsid w:val="00272303"/>
    <w:rsid w:val="00273D03"/>
    <w:rsid w:val="00273F6F"/>
    <w:rsid w:val="00274528"/>
    <w:rsid w:val="00274998"/>
    <w:rsid w:val="00275E0B"/>
    <w:rsid w:val="00276EF7"/>
    <w:rsid w:val="00280292"/>
    <w:rsid w:val="00283F1C"/>
    <w:rsid w:val="00287193"/>
    <w:rsid w:val="002900AE"/>
    <w:rsid w:val="00290AF6"/>
    <w:rsid w:val="00291D19"/>
    <w:rsid w:val="002925F6"/>
    <w:rsid w:val="00294642"/>
    <w:rsid w:val="002A0FB6"/>
    <w:rsid w:val="002A131F"/>
    <w:rsid w:val="002A3A9A"/>
    <w:rsid w:val="002A4158"/>
    <w:rsid w:val="002A4B3F"/>
    <w:rsid w:val="002A7BDD"/>
    <w:rsid w:val="002B11F3"/>
    <w:rsid w:val="002B21CF"/>
    <w:rsid w:val="002B50B2"/>
    <w:rsid w:val="002B5A55"/>
    <w:rsid w:val="002B7045"/>
    <w:rsid w:val="002C0A81"/>
    <w:rsid w:val="002C5E4E"/>
    <w:rsid w:val="002C6B5C"/>
    <w:rsid w:val="002C6C90"/>
    <w:rsid w:val="002C6EF0"/>
    <w:rsid w:val="002D0E1E"/>
    <w:rsid w:val="002D2453"/>
    <w:rsid w:val="002D36BA"/>
    <w:rsid w:val="002D68AC"/>
    <w:rsid w:val="002D7B53"/>
    <w:rsid w:val="002D7CE1"/>
    <w:rsid w:val="002D7D2D"/>
    <w:rsid w:val="002D7E69"/>
    <w:rsid w:val="002E0580"/>
    <w:rsid w:val="002E17C4"/>
    <w:rsid w:val="002E3CB4"/>
    <w:rsid w:val="002E5A10"/>
    <w:rsid w:val="002E6566"/>
    <w:rsid w:val="002E65A7"/>
    <w:rsid w:val="002F06B2"/>
    <w:rsid w:val="002F6F15"/>
    <w:rsid w:val="002F7141"/>
    <w:rsid w:val="00304FAD"/>
    <w:rsid w:val="00305A7E"/>
    <w:rsid w:val="003077A2"/>
    <w:rsid w:val="003104FB"/>
    <w:rsid w:val="00310A04"/>
    <w:rsid w:val="00311D36"/>
    <w:rsid w:val="00313C35"/>
    <w:rsid w:val="0033178C"/>
    <w:rsid w:val="003318AB"/>
    <w:rsid w:val="00334771"/>
    <w:rsid w:val="0034035E"/>
    <w:rsid w:val="0034121E"/>
    <w:rsid w:val="00341BDB"/>
    <w:rsid w:val="00343024"/>
    <w:rsid w:val="003433B4"/>
    <w:rsid w:val="00343647"/>
    <w:rsid w:val="00343C31"/>
    <w:rsid w:val="00343CDB"/>
    <w:rsid w:val="00344969"/>
    <w:rsid w:val="003501A3"/>
    <w:rsid w:val="00350D6C"/>
    <w:rsid w:val="0035221B"/>
    <w:rsid w:val="0035286F"/>
    <w:rsid w:val="00362F3D"/>
    <w:rsid w:val="0036313C"/>
    <w:rsid w:val="00363E69"/>
    <w:rsid w:val="00365065"/>
    <w:rsid w:val="00367453"/>
    <w:rsid w:val="00371F7A"/>
    <w:rsid w:val="00372B47"/>
    <w:rsid w:val="00373041"/>
    <w:rsid w:val="00375266"/>
    <w:rsid w:val="00376460"/>
    <w:rsid w:val="00377E18"/>
    <w:rsid w:val="00380BCB"/>
    <w:rsid w:val="003836AF"/>
    <w:rsid w:val="00383EC6"/>
    <w:rsid w:val="00386E91"/>
    <w:rsid w:val="00386EA8"/>
    <w:rsid w:val="00386FDD"/>
    <w:rsid w:val="00387764"/>
    <w:rsid w:val="003906F9"/>
    <w:rsid w:val="00392385"/>
    <w:rsid w:val="00392B3F"/>
    <w:rsid w:val="0039651F"/>
    <w:rsid w:val="003A0387"/>
    <w:rsid w:val="003A0427"/>
    <w:rsid w:val="003A2A33"/>
    <w:rsid w:val="003A3891"/>
    <w:rsid w:val="003A49FE"/>
    <w:rsid w:val="003A75C2"/>
    <w:rsid w:val="003B0A5E"/>
    <w:rsid w:val="003C1455"/>
    <w:rsid w:val="003C426E"/>
    <w:rsid w:val="003C5BF5"/>
    <w:rsid w:val="003D0F9D"/>
    <w:rsid w:val="003D6929"/>
    <w:rsid w:val="003D714B"/>
    <w:rsid w:val="003D7291"/>
    <w:rsid w:val="003E2207"/>
    <w:rsid w:val="003E40CD"/>
    <w:rsid w:val="003E45F4"/>
    <w:rsid w:val="003E560A"/>
    <w:rsid w:val="003E6C5D"/>
    <w:rsid w:val="003F1B81"/>
    <w:rsid w:val="003F2308"/>
    <w:rsid w:val="003F2603"/>
    <w:rsid w:val="003F3296"/>
    <w:rsid w:val="003F5A68"/>
    <w:rsid w:val="003F5F2A"/>
    <w:rsid w:val="00405EE1"/>
    <w:rsid w:val="00405FF0"/>
    <w:rsid w:val="00406075"/>
    <w:rsid w:val="00406632"/>
    <w:rsid w:val="00410A1A"/>
    <w:rsid w:val="004111D7"/>
    <w:rsid w:val="00411865"/>
    <w:rsid w:val="004172C8"/>
    <w:rsid w:val="00425EDD"/>
    <w:rsid w:val="00425F16"/>
    <w:rsid w:val="00426895"/>
    <w:rsid w:val="00426CDB"/>
    <w:rsid w:val="004303CD"/>
    <w:rsid w:val="00430F2B"/>
    <w:rsid w:val="00431437"/>
    <w:rsid w:val="0043274E"/>
    <w:rsid w:val="004344DE"/>
    <w:rsid w:val="004356D2"/>
    <w:rsid w:val="00435A57"/>
    <w:rsid w:val="00436DC9"/>
    <w:rsid w:val="004375E0"/>
    <w:rsid w:val="00440755"/>
    <w:rsid w:val="004420E0"/>
    <w:rsid w:val="0044267F"/>
    <w:rsid w:val="00442FE4"/>
    <w:rsid w:val="00451CFD"/>
    <w:rsid w:val="004528E2"/>
    <w:rsid w:val="00455951"/>
    <w:rsid w:val="004562C6"/>
    <w:rsid w:val="00461C2E"/>
    <w:rsid w:val="00461E6B"/>
    <w:rsid w:val="0046322F"/>
    <w:rsid w:val="00463CF4"/>
    <w:rsid w:val="0046539C"/>
    <w:rsid w:val="004705B8"/>
    <w:rsid w:val="00470858"/>
    <w:rsid w:val="004718DC"/>
    <w:rsid w:val="00471C9D"/>
    <w:rsid w:val="004732F6"/>
    <w:rsid w:val="00473D1A"/>
    <w:rsid w:val="00473E41"/>
    <w:rsid w:val="004740A7"/>
    <w:rsid w:val="00474D9E"/>
    <w:rsid w:val="004750AB"/>
    <w:rsid w:val="00475927"/>
    <w:rsid w:val="00477FFC"/>
    <w:rsid w:val="004815CB"/>
    <w:rsid w:val="0049227B"/>
    <w:rsid w:val="0049473B"/>
    <w:rsid w:val="00494BBC"/>
    <w:rsid w:val="00497778"/>
    <w:rsid w:val="004A1E4C"/>
    <w:rsid w:val="004A379B"/>
    <w:rsid w:val="004A569D"/>
    <w:rsid w:val="004B1833"/>
    <w:rsid w:val="004B23AF"/>
    <w:rsid w:val="004B314D"/>
    <w:rsid w:val="004B43B2"/>
    <w:rsid w:val="004B48C7"/>
    <w:rsid w:val="004B5FF7"/>
    <w:rsid w:val="004B6620"/>
    <w:rsid w:val="004C1438"/>
    <w:rsid w:val="004C29A3"/>
    <w:rsid w:val="004C2FA2"/>
    <w:rsid w:val="004C4882"/>
    <w:rsid w:val="004C637F"/>
    <w:rsid w:val="004D1512"/>
    <w:rsid w:val="004D3E4E"/>
    <w:rsid w:val="004D40A9"/>
    <w:rsid w:val="004D491D"/>
    <w:rsid w:val="004D5812"/>
    <w:rsid w:val="004D6A92"/>
    <w:rsid w:val="004D6EEE"/>
    <w:rsid w:val="004D7917"/>
    <w:rsid w:val="004E13D1"/>
    <w:rsid w:val="004E1C6A"/>
    <w:rsid w:val="004E25FA"/>
    <w:rsid w:val="004E320D"/>
    <w:rsid w:val="004E3221"/>
    <w:rsid w:val="004E43AB"/>
    <w:rsid w:val="004E45E7"/>
    <w:rsid w:val="004E4DAA"/>
    <w:rsid w:val="004E61F5"/>
    <w:rsid w:val="004E65AF"/>
    <w:rsid w:val="004E7959"/>
    <w:rsid w:val="004F1D8A"/>
    <w:rsid w:val="004F2D6E"/>
    <w:rsid w:val="004F4894"/>
    <w:rsid w:val="004F4B0B"/>
    <w:rsid w:val="004F639D"/>
    <w:rsid w:val="004F741D"/>
    <w:rsid w:val="00506716"/>
    <w:rsid w:val="005075DD"/>
    <w:rsid w:val="00507B87"/>
    <w:rsid w:val="00510AEB"/>
    <w:rsid w:val="0051164A"/>
    <w:rsid w:val="005122D4"/>
    <w:rsid w:val="00515150"/>
    <w:rsid w:val="0052200B"/>
    <w:rsid w:val="005225D1"/>
    <w:rsid w:val="00525AB3"/>
    <w:rsid w:val="00527147"/>
    <w:rsid w:val="005276DD"/>
    <w:rsid w:val="0053105F"/>
    <w:rsid w:val="005314AA"/>
    <w:rsid w:val="00532733"/>
    <w:rsid w:val="00532C91"/>
    <w:rsid w:val="00535053"/>
    <w:rsid w:val="00535349"/>
    <w:rsid w:val="00536A33"/>
    <w:rsid w:val="0054103C"/>
    <w:rsid w:val="00542AA5"/>
    <w:rsid w:val="00545BD7"/>
    <w:rsid w:val="0055206A"/>
    <w:rsid w:val="005535BE"/>
    <w:rsid w:val="005554CA"/>
    <w:rsid w:val="005558CB"/>
    <w:rsid w:val="005559D6"/>
    <w:rsid w:val="00557212"/>
    <w:rsid w:val="00560FC5"/>
    <w:rsid w:val="00563804"/>
    <w:rsid w:val="00563B03"/>
    <w:rsid w:val="005642FE"/>
    <w:rsid w:val="00564B47"/>
    <w:rsid w:val="00567EFC"/>
    <w:rsid w:val="00573D68"/>
    <w:rsid w:val="00575FC9"/>
    <w:rsid w:val="0057797B"/>
    <w:rsid w:val="005815C0"/>
    <w:rsid w:val="0058368C"/>
    <w:rsid w:val="005842F0"/>
    <w:rsid w:val="0059107E"/>
    <w:rsid w:val="0059150A"/>
    <w:rsid w:val="00592002"/>
    <w:rsid w:val="005958F9"/>
    <w:rsid w:val="00595E6D"/>
    <w:rsid w:val="005963E8"/>
    <w:rsid w:val="005A1B5F"/>
    <w:rsid w:val="005A2FA3"/>
    <w:rsid w:val="005A4738"/>
    <w:rsid w:val="005A68DE"/>
    <w:rsid w:val="005A69BE"/>
    <w:rsid w:val="005A7EBD"/>
    <w:rsid w:val="005B07D6"/>
    <w:rsid w:val="005B17BC"/>
    <w:rsid w:val="005B2587"/>
    <w:rsid w:val="005B6B86"/>
    <w:rsid w:val="005B76DD"/>
    <w:rsid w:val="005C0AC4"/>
    <w:rsid w:val="005D03A7"/>
    <w:rsid w:val="005D08D0"/>
    <w:rsid w:val="005D1AB8"/>
    <w:rsid w:val="005D2A36"/>
    <w:rsid w:val="005D3887"/>
    <w:rsid w:val="005D38B1"/>
    <w:rsid w:val="005D5F63"/>
    <w:rsid w:val="005D7E57"/>
    <w:rsid w:val="005E07F4"/>
    <w:rsid w:val="005E1296"/>
    <w:rsid w:val="005E1623"/>
    <w:rsid w:val="005E5606"/>
    <w:rsid w:val="005E71AE"/>
    <w:rsid w:val="005F157C"/>
    <w:rsid w:val="005F1D4B"/>
    <w:rsid w:val="005F2CDD"/>
    <w:rsid w:val="005F2DF9"/>
    <w:rsid w:val="005F333D"/>
    <w:rsid w:val="005F379D"/>
    <w:rsid w:val="005F6C15"/>
    <w:rsid w:val="005F6E55"/>
    <w:rsid w:val="00602889"/>
    <w:rsid w:val="00602F77"/>
    <w:rsid w:val="00603A0C"/>
    <w:rsid w:val="006053CA"/>
    <w:rsid w:val="00611328"/>
    <w:rsid w:val="00614989"/>
    <w:rsid w:val="00616CFA"/>
    <w:rsid w:val="00617DE6"/>
    <w:rsid w:val="00621084"/>
    <w:rsid w:val="00622164"/>
    <w:rsid w:val="006243E8"/>
    <w:rsid w:val="00624F5C"/>
    <w:rsid w:val="006269DF"/>
    <w:rsid w:val="006272EA"/>
    <w:rsid w:val="00627409"/>
    <w:rsid w:val="00632BB1"/>
    <w:rsid w:val="00633C93"/>
    <w:rsid w:val="00635681"/>
    <w:rsid w:val="006375E3"/>
    <w:rsid w:val="00640127"/>
    <w:rsid w:val="006402D9"/>
    <w:rsid w:val="00640978"/>
    <w:rsid w:val="00641AB3"/>
    <w:rsid w:val="00641B09"/>
    <w:rsid w:val="006437E9"/>
    <w:rsid w:val="006479A9"/>
    <w:rsid w:val="006502BE"/>
    <w:rsid w:val="00651F00"/>
    <w:rsid w:val="006523D0"/>
    <w:rsid w:val="00653769"/>
    <w:rsid w:val="0065491F"/>
    <w:rsid w:val="00655BC6"/>
    <w:rsid w:val="006602B4"/>
    <w:rsid w:val="006625A2"/>
    <w:rsid w:val="0066405B"/>
    <w:rsid w:val="00665C78"/>
    <w:rsid w:val="006703A2"/>
    <w:rsid w:val="006718C0"/>
    <w:rsid w:val="006736FC"/>
    <w:rsid w:val="00673776"/>
    <w:rsid w:val="006754E4"/>
    <w:rsid w:val="00675F58"/>
    <w:rsid w:val="00681594"/>
    <w:rsid w:val="0068203F"/>
    <w:rsid w:val="00683B34"/>
    <w:rsid w:val="0068420D"/>
    <w:rsid w:val="00686B3B"/>
    <w:rsid w:val="00690679"/>
    <w:rsid w:val="006917F6"/>
    <w:rsid w:val="00693055"/>
    <w:rsid w:val="006933BE"/>
    <w:rsid w:val="00693924"/>
    <w:rsid w:val="00697296"/>
    <w:rsid w:val="00697DC9"/>
    <w:rsid w:val="006A1236"/>
    <w:rsid w:val="006A19E0"/>
    <w:rsid w:val="006A1C2F"/>
    <w:rsid w:val="006B0020"/>
    <w:rsid w:val="006B094B"/>
    <w:rsid w:val="006B44D7"/>
    <w:rsid w:val="006B52CB"/>
    <w:rsid w:val="006B7ECF"/>
    <w:rsid w:val="006C0489"/>
    <w:rsid w:val="006C30A8"/>
    <w:rsid w:val="006C43C8"/>
    <w:rsid w:val="006C5737"/>
    <w:rsid w:val="006C6B88"/>
    <w:rsid w:val="006D0004"/>
    <w:rsid w:val="006D0DAB"/>
    <w:rsid w:val="006D16D0"/>
    <w:rsid w:val="006D1AF2"/>
    <w:rsid w:val="006D603B"/>
    <w:rsid w:val="006D68A8"/>
    <w:rsid w:val="006E0EB2"/>
    <w:rsid w:val="006E2EF5"/>
    <w:rsid w:val="006E4C85"/>
    <w:rsid w:val="006E5958"/>
    <w:rsid w:val="006E6ED9"/>
    <w:rsid w:val="006E78A7"/>
    <w:rsid w:val="006E7F82"/>
    <w:rsid w:val="006F067B"/>
    <w:rsid w:val="006F28B9"/>
    <w:rsid w:val="006F2B7C"/>
    <w:rsid w:val="006F4554"/>
    <w:rsid w:val="006F500B"/>
    <w:rsid w:val="006F71F7"/>
    <w:rsid w:val="00700D54"/>
    <w:rsid w:val="00701C5C"/>
    <w:rsid w:val="00702302"/>
    <w:rsid w:val="00703986"/>
    <w:rsid w:val="00703BF4"/>
    <w:rsid w:val="00703CE0"/>
    <w:rsid w:val="00704F2C"/>
    <w:rsid w:val="007067F9"/>
    <w:rsid w:val="00707764"/>
    <w:rsid w:val="00713E72"/>
    <w:rsid w:val="00720ABB"/>
    <w:rsid w:val="00726380"/>
    <w:rsid w:val="00726471"/>
    <w:rsid w:val="00726A5E"/>
    <w:rsid w:val="007371DB"/>
    <w:rsid w:val="00737C83"/>
    <w:rsid w:val="00741206"/>
    <w:rsid w:val="0074174A"/>
    <w:rsid w:val="00741ABC"/>
    <w:rsid w:val="00747427"/>
    <w:rsid w:val="00747A1B"/>
    <w:rsid w:val="0075768F"/>
    <w:rsid w:val="00763181"/>
    <w:rsid w:val="007649BA"/>
    <w:rsid w:val="0076755C"/>
    <w:rsid w:val="00770850"/>
    <w:rsid w:val="00772C15"/>
    <w:rsid w:val="00773F34"/>
    <w:rsid w:val="00774292"/>
    <w:rsid w:val="00776439"/>
    <w:rsid w:val="007764F2"/>
    <w:rsid w:val="00776DA1"/>
    <w:rsid w:val="007817E4"/>
    <w:rsid w:val="0078224B"/>
    <w:rsid w:val="007838E2"/>
    <w:rsid w:val="00787823"/>
    <w:rsid w:val="007920FA"/>
    <w:rsid w:val="0079230A"/>
    <w:rsid w:val="0079370B"/>
    <w:rsid w:val="00793892"/>
    <w:rsid w:val="007976B2"/>
    <w:rsid w:val="00797F2D"/>
    <w:rsid w:val="007A0177"/>
    <w:rsid w:val="007A04CF"/>
    <w:rsid w:val="007A2BC7"/>
    <w:rsid w:val="007A4650"/>
    <w:rsid w:val="007A4D31"/>
    <w:rsid w:val="007A50E6"/>
    <w:rsid w:val="007A64FB"/>
    <w:rsid w:val="007A783F"/>
    <w:rsid w:val="007B0CF4"/>
    <w:rsid w:val="007B2370"/>
    <w:rsid w:val="007B2D12"/>
    <w:rsid w:val="007B55DE"/>
    <w:rsid w:val="007B5AF7"/>
    <w:rsid w:val="007B5B4E"/>
    <w:rsid w:val="007C22DB"/>
    <w:rsid w:val="007C5365"/>
    <w:rsid w:val="007C6C7A"/>
    <w:rsid w:val="007C7127"/>
    <w:rsid w:val="007C7F13"/>
    <w:rsid w:val="007D25F8"/>
    <w:rsid w:val="007D58DC"/>
    <w:rsid w:val="007D6D68"/>
    <w:rsid w:val="007E09F1"/>
    <w:rsid w:val="007E24E9"/>
    <w:rsid w:val="007E4726"/>
    <w:rsid w:val="007E474E"/>
    <w:rsid w:val="007E7BDB"/>
    <w:rsid w:val="007F00BB"/>
    <w:rsid w:val="007F282C"/>
    <w:rsid w:val="007F5BBA"/>
    <w:rsid w:val="007F7F5B"/>
    <w:rsid w:val="008010CD"/>
    <w:rsid w:val="0080489C"/>
    <w:rsid w:val="00804A7F"/>
    <w:rsid w:val="008066AC"/>
    <w:rsid w:val="00806820"/>
    <w:rsid w:val="00810087"/>
    <w:rsid w:val="008118C6"/>
    <w:rsid w:val="008118F3"/>
    <w:rsid w:val="008126E3"/>
    <w:rsid w:val="00812FB6"/>
    <w:rsid w:val="00814C38"/>
    <w:rsid w:val="00817885"/>
    <w:rsid w:val="00822FD9"/>
    <w:rsid w:val="00825A99"/>
    <w:rsid w:val="0083141C"/>
    <w:rsid w:val="008375A2"/>
    <w:rsid w:val="00840409"/>
    <w:rsid w:val="0084408C"/>
    <w:rsid w:val="0084444C"/>
    <w:rsid w:val="00844479"/>
    <w:rsid w:val="0084540C"/>
    <w:rsid w:val="00845C60"/>
    <w:rsid w:val="00846B53"/>
    <w:rsid w:val="00846E4D"/>
    <w:rsid w:val="00846E6B"/>
    <w:rsid w:val="0085377E"/>
    <w:rsid w:val="00861593"/>
    <w:rsid w:val="00865516"/>
    <w:rsid w:val="0086555E"/>
    <w:rsid w:val="0086581A"/>
    <w:rsid w:val="00865864"/>
    <w:rsid w:val="00865E99"/>
    <w:rsid w:val="00867118"/>
    <w:rsid w:val="0087359D"/>
    <w:rsid w:val="0087581A"/>
    <w:rsid w:val="00882E2F"/>
    <w:rsid w:val="00883400"/>
    <w:rsid w:val="0088343E"/>
    <w:rsid w:val="00883F82"/>
    <w:rsid w:val="0088471D"/>
    <w:rsid w:val="00886A99"/>
    <w:rsid w:val="00891178"/>
    <w:rsid w:val="00891E01"/>
    <w:rsid w:val="008923B2"/>
    <w:rsid w:val="00892F9F"/>
    <w:rsid w:val="00896710"/>
    <w:rsid w:val="00896A56"/>
    <w:rsid w:val="008B53E5"/>
    <w:rsid w:val="008B5E83"/>
    <w:rsid w:val="008B61E7"/>
    <w:rsid w:val="008B63FA"/>
    <w:rsid w:val="008B6DEC"/>
    <w:rsid w:val="008B782E"/>
    <w:rsid w:val="008C2007"/>
    <w:rsid w:val="008C24CD"/>
    <w:rsid w:val="008C27AE"/>
    <w:rsid w:val="008C2FFE"/>
    <w:rsid w:val="008C3872"/>
    <w:rsid w:val="008C4117"/>
    <w:rsid w:val="008C7A03"/>
    <w:rsid w:val="008D145D"/>
    <w:rsid w:val="008D3BA2"/>
    <w:rsid w:val="008D5A28"/>
    <w:rsid w:val="008E65A4"/>
    <w:rsid w:val="008E762E"/>
    <w:rsid w:val="008F0A22"/>
    <w:rsid w:val="008F107E"/>
    <w:rsid w:val="008F23D0"/>
    <w:rsid w:val="008F2947"/>
    <w:rsid w:val="008F2D12"/>
    <w:rsid w:val="008F39F8"/>
    <w:rsid w:val="008F3F4D"/>
    <w:rsid w:val="009028D6"/>
    <w:rsid w:val="00903684"/>
    <w:rsid w:val="00903958"/>
    <w:rsid w:val="0090399C"/>
    <w:rsid w:val="00903DB1"/>
    <w:rsid w:val="00903E9B"/>
    <w:rsid w:val="009055B2"/>
    <w:rsid w:val="00905E41"/>
    <w:rsid w:val="00905F1E"/>
    <w:rsid w:val="00907E50"/>
    <w:rsid w:val="00912434"/>
    <w:rsid w:val="0091739E"/>
    <w:rsid w:val="00917575"/>
    <w:rsid w:val="00917D36"/>
    <w:rsid w:val="00921A30"/>
    <w:rsid w:val="00924472"/>
    <w:rsid w:val="00925B32"/>
    <w:rsid w:val="00926825"/>
    <w:rsid w:val="0093292E"/>
    <w:rsid w:val="00932A59"/>
    <w:rsid w:val="0093412E"/>
    <w:rsid w:val="00935766"/>
    <w:rsid w:val="00941677"/>
    <w:rsid w:val="00942122"/>
    <w:rsid w:val="009471D5"/>
    <w:rsid w:val="00950B53"/>
    <w:rsid w:val="00951B37"/>
    <w:rsid w:val="00951B7C"/>
    <w:rsid w:val="009522D3"/>
    <w:rsid w:val="00954C69"/>
    <w:rsid w:val="00955A93"/>
    <w:rsid w:val="00956976"/>
    <w:rsid w:val="0096074D"/>
    <w:rsid w:val="00961120"/>
    <w:rsid w:val="00961545"/>
    <w:rsid w:val="0096447F"/>
    <w:rsid w:val="00964CA3"/>
    <w:rsid w:val="009654E2"/>
    <w:rsid w:val="00965CE3"/>
    <w:rsid w:val="00970D32"/>
    <w:rsid w:val="00974149"/>
    <w:rsid w:val="00974DD6"/>
    <w:rsid w:val="00975247"/>
    <w:rsid w:val="00977BAC"/>
    <w:rsid w:val="00983075"/>
    <w:rsid w:val="0098396A"/>
    <w:rsid w:val="00983E4B"/>
    <w:rsid w:val="00987EE4"/>
    <w:rsid w:val="009905C2"/>
    <w:rsid w:val="009906EB"/>
    <w:rsid w:val="00990A21"/>
    <w:rsid w:val="009916E3"/>
    <w:rsid w:val="009A139F"/>
    <w:rsid w:val="009A317D"/>
    <w:rsid w:val="009B0C77"/>
    <w:rsid w:val="009B29AE"/>
    <w:rsid w:val="009B3461"/>
    <w:rsid w:val="009B464E"/>
    <w:rsid w:val="009B53B7"/>
    <w:rsid w:val="009C1A37"/>
    <w:rsid w:val="009C4A2D"/>
    <w:rsid w:val="009C5BAC"/>
    <w:rsid w:val="009C6BE4"/>
    <w:rsid w:val="009D01CF"/>
    <w:rsid w:val="009D054C"/>
    <w:rsid w:val="009D3731"/>
    <w:rsid w:val="009D4569"/>
    <w:rsid w:val="009D4714"/>
    <w:rsid w:val="009D79E4"/>
    <w:rsid w:val="009E0A82"/>
    <w:rsid w:val="009E1EA2"/>
    <w:rsid w:val="009E22C5"/>
    <w:rsid w:val="009E3E1D"/>
    <w:rsid w:val="009E42FF"/>
    <w:rsid w:val="009E533B"/>
    <w:rsid w:val="009E6398"/>
    <w:rsid w:val="009F0FD3"/>
    <w:rsid w:val="009F6578"/>
    <w:rsid w:val="00A02247"/>
    <w:rsid w:val="00A04230"/>
    <w:rsid w:val="00A0493D"/>
    <w:rsid w:val="00A05508"/>
    <w:rsid w:val="00A11A09"/>
    <w:rsid w:val="00A11DFD"/>
    <w:rsid w:val="00A13B75"/>
    <w:rsid w:val="00A13D01"/>
    <w:rsid w:val="00A14E5E"/>
    <w:rsid w:val="00A14FCB"/>
    <w:rsid w:val="00A161A4"/>
    <w:rsid w:val="00A16C69"/>
    <w:rsid w:val="00A17C8E"/>
    <w:rsid w:val="00A22244"/>
    <w:rsid w:val="00A223B3"/>
    <w:rsid w:val="00A234C9"/>
    <w:rsid w:val="00A30692"/>
    <w:rsid w:val="00A31449"/>
    <w:rsid w:val="00A33807"/>
    <w:rsid w:val="00A33CD8"/>
    <w:rsid w:val="00A35E78"/>
    <w:rsid w:val="00A36695"/>
    <w:rsid w:val="00A40595"/>
    <w:rsid w:val="00A40C26"/>
    <w:rsid w:val="00A456F6"/>
    <w:rsid w:val="00A472E4"/>
    <w:rsid w:val="00A50367"/>
    <w:rsid w:val="00A51982"/>
    <w:rsid w:val="00A54C66"/>
    <w:rsid w:val="00A54FFC"/>
    <w:rsid w:val="00A55A77"/>
    <w:rsid w:val="00A56824"/>
    <w:rsid w:val="00A56938"/>
    <w:rsid w:val="00A56D37"/>
    <w:rsid w:val="00A5739D"/>
    <w:rsid w:val="00A61F71"/>
    <w:rsid w:val="00A62CB0"/>
    <w:rsid w:val="00A65D2C"/>
    <w:rsid w:val="00A700E8"/>
    <w:rsid w:val="00A7110E"/>
    <w:rsid w:val="00A722E1"/>
    <w:rsid w:val="00A73675"/>
    <w:rsid w:val="00A73DE8"/>
    <w:rsid w:val="00A75F93"/>
    <w:rsid w:val="00A76261"/>
    <w:rsid w:val="00A7660A"/>
    <w:rsid w:val="00A776A2"/>
    <w:rsid w:val="00A8056A"/>
    <w:rsid w:val="00A806AE"/>
    <w:rsid w:val="00A81F39"/>
    <w:rsid w:val="00A850F1"/>
    <w:rsid w:val="00A85A39"/>
    <w:rsid w:val="00A87383"/>
    <w:rsid w:val="00A92D16"/>
    <w:rsid w:val="00A93A6D"/>
    <w:rsid w:val="00A94991"/>
    <w:rsid w:val="00A94C0D"/>
    <w:rsid w:val="00A957E7"/>
    <w:rsid w:val="00A96524"/>
    <w:rsid w:val="00A96C3C"/>
    <w:rsid w:val="00A97CEA"/>
    <w:rsid w:val="00AA01C2"/>
    <w:rsid w:val="00AA0DB3"/>
    <w:rsid w:val="00AA4F4E"/>
    <w:rsid w:val="00AB0177"/>
    <w:rsid w:val="00AB1815"/>
    <w:rsid w:val="00AB1EEC"/>
    <w:rsid w:val="00AB28E0"/>
    <w:rsid w:val="00AB3057"/>
    <w:rsid w:val="00AB3E16"/>
    <w:rsid w:val="00AB4DD8"/>
    <w:rsid w:val="00AC0438"/>
    <w:rsid w:val="00AC2B12"/>
    <w:rsid w:val="00AC3625"/>
    <w:rsid w:val="00AC4494"/>
    <w:rsid w:val="00AC52EE"/>
    <w:rsid w:val="00AC546A"/>
    <w:rsid w:val="00AC6DF9"/>
    <w:rsid w:val="00AC7582"/>
    <w:rsid w:val="00AD1AA3"/>
    <w:rsid w:val="00AD230A"/>
    <w:rsid w:val="00AD3448"/>
    <w:rsid w:val="00AD4FB7"/>
    <w:rsid w:val="00AE25A7"/>
    <w:rsid w:val="00AE32B5"/>
    <w:rsid w:val="00AE34A6"/>
    <w:rsid w:val="00AE4904"/>
    <w:rsid w:val="00AE4BF4"/>
    <w:rsid w:val="00AE5178"/>
    <w:rsid w:val="00AE52B0"/>
    <w:rsid w:val="00AF09DF"/>
    <w:rsid w:val="00AF0AEB"/>
    <w:rsid w:val="00AF292C"/>
    <w:rsid w:val="00AF348D"/>
    <w:rsid w:val="00AF3E20"/>
    <w:rsid w:val="00AF6769"/>
    <w:rsid w:val="00B01025"/>
    <w:rsid w:val="00B02114"/>
    <w:rsid w:val="00B024EB"/>
    <w:rsid w:val="00B0356F"/>
    <w:rsid w:val="00B03816"/>
    <w:rsid w:val="00B03CA1"/>
    <w:rsid w:val="00B05818"/>
    <w:rsid w:val="00B05E8E"/>
    <w:rsid w:val="00B07545"/>
    <w:rsid w:val="00B076CB"/>
    <w:rsid w:val="00B126CC"/>
    <w:rsid w:val="00B12D55"/>
    <w:rsid w:val="00B13548"/>
    <w:rsid w:val="00B14B9E"/>
    <w:rsid w:val="00B20713"/>
    <w:rsid w:val="00B20B2F"/>
    <w:rsid w:val="00B2102E"/>
    <w:rsid w:val="00B23B1B"/>
    <w:rsid w:val="00B27216"/>
    <w:rsid w:val="00B27D0E"/>
    <w:rsid w:val="00B361A6"/>
    <w:rsid w:val="00B431C5"/>
    <w:rsid w:val="00B43B05"/>
    <w:rsid w:val="00B44796"/>
    <w:rsid w:val="00B45994"/>
    <w:rsid w:val="00B46DD3"/>
    <w:rsid w:val="00B46E26"/>
    <w:rsid w:val="00B50BBC"/>
    <w:rsid w:val="00B50D8F"/>
    <w:rsid w:val="00B5326C"/>
    <w:rsid w:val="00B5431B"/>
    <w:rsid w:val="00B55F36"/>
    <w:rsid w:val="00B56354"/>
    <w:rsid w:val="00B57AE4"/>
    <w:rsid w:val="00B57F9B"/>
    <w:rsid w:val="00B60AA1"/>
    <w:rsid w:val="00B61096"/>
    <w:rsid w:val="00B61147"/>
    <w:rsid w:val="00B62190"/>
    <w:rsid w:val="00B62EEB"/>
    <w:rsid w:val="00B63DE8"/>
    <w:rsid w:val="00B64B11"/>
    <w:rsid w:val="00B663CF"/>
    <w:rsid w:val="00B66EFD"/>
    <w:rsid w:val="00B67763"/>
    <w:rsid w:val="00B67C69"/>
    <w:rsid w:val="00B709A0"/>
    <w:rsid w:val="00B70A89"/>
    <w:rsid w:val="00B71758"/>
    <w:rsid w:val="00B77666"/>
    <w:rsid w:val="00B80FA8"/>
    <w:rsid w:val="00B81276"/>
    <w:rsid w:val="00B8156D"/>
    <w:rsid w:val="00B826F5"/>
    <w:rsid w:val="00B82DDC"/>
    <w:rsid w:val="00B83A19"/>
    <w:rsid w:val="00B84736"/>
    <w:rsid w:val="00B8585D"/>
    <w:rsid w:val="00B90B93"/>
    <w:rsid w:val="00B90F47"/>
    <w:rsid w:val="00B91F81"/>
    <w:rsid w:val="00B93B09"/>
    <w:rsid w:val="00B94B23"/>
    <w:rsid w:val="00B9631F"/>
    <w:rsid w:val="00B968D1"/>
    <w:rsid w:val="00B97768"/>
    <w:rsid w:val="00BA0A64"/>
    <w:rsid w:val="00BA1989"/>
    <w:rsid w:val="00BA2731"/>
    <w:rsid w:val="00BA3DB7"/>
    <w:rsid w:val="00BA402F"/>
    <w:rsid w:val="00BA475F"/>
    <w:rsid w:val="00BA4B68"/>
    <w:rsid w:val="00BA767B"/>
    <w:rsid w:val="00BA7772"/>
    <w:rsid w:val="00BB1AB7"/>
    <w:rsid w:val="00BB2E63"/>
    <w:rsid w:val="00BB5812"/>
    <w:rsid w:val="00BC0868"/>
    <w:rsid w:val="00BC4320"/>
    <w:rsid w:val="00BC4D7B"/>
    <w:rsid w:val="00BC5FE3"/>
    <w:rsid w:val="00BC63F1"/>
    <w:rsid w:val="00BD05A5"/>
    <w:rsid w:val="00BD168F"/>
    <w:rsid w:val="00BD4A5E"/>
    <w:rsid w:val="00BD65F8"/>
    <w:rsid w:val="00BE0421"/>
    <w:rsid w:val="00BE1CA9"/>
    <w:rsid w:val="00BE21DE"/>
    <w:rsid w:val="00BE24A9"/>
    <w:rsid w:val="00BE534E"/>
    <w:rsid w:val="00BE6B9F"/>
    <w:rsid w:val="00BE757F"/>
    <w:rsid w:val="00BE7F0C"/>
    <w:rsid w:val="00BF1911"/>
    <w:rsid w:val="00BF1DCA"/>
    <w:rsid w:val="00BF2743"/>
    <w:rsid w:val="00BF2C73"/>
    <w:rsid w:val="00BF31D2"/>
    <w:rsid w:val="00BF580E"/>
    <w:rsid w:val="00C011F0"/>
    <w:rsid w:val="00C03F04"/>
    <w:rsid w:val="00C05801"/>
    <w:rsid w:val="00C06288"/>
    <w:rsid w:val="00C079BB"/>
    <w:rsid w:val="00C11DA3"/>
    <w:rsid w:val="00C11E90"/>
    <w:rsid w:val="00C1350D"/>
    <w:rsid w:val="00C200E8"/>
    <w:rsid w:val="00C21AF6"/>
    <w:rsid w:val="00C2281C"/>
    <w:rsid w:val="00C234E9"/>
    <w:rsid w:val="00C23502"/>
    <w:rsid w:val="00C24158"/>
    <w:rsid w:val="00C242B9"/>
    <w:rsid w:val="00C33DFB"/>
    <w:rsid w:val="00C376D7"/>
    <w:rsid w:val="00C40B28"/>
    <w:rsid w:val="00C41599"/>
    <w:rsid w:val="00C41B82"/>
    <w:rsid w:val="00C41C2B"/>
    <w:rsid w:val="00C50620"/>
    <w:rsid w:val="00C52581"/>
    <w:rsid w:val="00C5466C"/>
    <w:rsid w:val="00C54EF0"/>
    <w:rsid w:val="00C566A9"/>
    <w:rsid w:val="00C56E83"/>
    <w:rsid w:val="00C624F1"/>
    <w:rsid w:val="00C62A95"/>
    <w:rsid w:val="00C63A4C"/>
    <w:rsid w:val="00C65218"/>
    <w:rsid w:val="00C72A64"/>
    <w:rsid w:val="00C759BC"/>
    <w:rsid w:val="00C77C09"/>
    <w:rsid w:val="00C80BF2"/>
    <w:rsid w:val="00C8195D"/>
    <w:rsid w:val="00C83246"/>
    <w:rsid w:val="00C84513"/>
    <w:rsid w:val="00C84E1C"/>
    <w:rsid w:val="00C862EE"/>
    <w:rsid w:val="00C87DED"/>
    <w:rsid w:val="00C960AB"/>
    <w:rsid w:val="00C9611C"/>
    <w:rsid w:val="00CA0CF7"/>
    <w:rsid w:val="00CA2403"/>
    <w:rsid w:val="00CA5A7F"/>
    <w:rsid w:val="00CA66C6"/>
    <w:rsid w:val="00CA6E08"/>
    <w:rsid w:val="00CB0604"/>
    <w:rsid w:val="00CB2678"/>
    <w:rsid w:val="00CB6326"/>
    <w:rsid w:val="00CB7221"/>
    <w:rsid w:val="00CB78D9"/>
    <w:rsid w:val="00CC22A0"/>
    <w:rsid w:val="00CC2C4D"/>
    <w:rsid w:val="00CC3B47"/>
    <w:rsid w:val="00CC3BB5"/>
    <w:rsid w:val="00CC3BC5"/>
    <w:rsid w:val="00CC4B2F"/>
    <w:rsid w:val="00CC4DC4"/>
    <w:rsid w:val="00CC54EF"/>
    <w:rsid w:val="00CC7EA1"/>
    <w:rsid w:val="00CD00F8"/>
    <w:rsid w:val="00CD237D"/>
    <w:rsid w:val="00CD2873"/>
    <w:rsid w:val="00CD2DBA"/>
    <w:rsid w:val="00CD424F"/>
    <w:rsid w:val="00CD42BA"/>
    <w:rsid w:val="00CD452D"/>
    <w:rsid w:val="00CD463C"/>
    <w:rsid w:val="00CD5D16"/>
    <w:rsid w:val="00CD601D"/>
    <w:rsid w:val="00CD70F6"/>
    <w:rsid w:val="00CE01B2"/>
    <w:rsid w:val="00CE05BD"/>
    <w:rsid w:val="00CE2BC8"/>
    <w:rsid w:val="00CE3EE8"/>
    <w:rsid w:val="00CE47FC"/>
    <w:rsid w:val="00CE5D11"/>
    <w:rsid w:val="00CE69FB"/>
    <w:rsid w:val="00CF0886"/>
    <w:rsid w:val="00CF21FC"/>
    <w:rsid w:val="00CF4EE7"/>
    <w:rsid w:val="00CF5204"/>
    <w:rsid w:val="00CF66D1"/>
    <w:rsid w:val="00CF7BC3"/>
    <w:rsid w:val="00D02175"/>
    <w:rsid w:val="00D022F0"/>
    <w:rsid w:val="00D025AA"/>
    <w:rsid w:val="00D02D85"/>
    <w:rsid w:val="00D04088"/>
    <w:rsid w:val="00D07136"/>
    <w:rsid w:val="00D07152"/>
    <w:rsid w:val="00D0739A"/>
    <w:rsid w:val="00D10219"/>
    <w:rsid w:val="00D102FE"/>
    <w:rsid w:val="00D1101B"/>
    <w:rsid w:val="00D1195F"/>
    <w:rsid w:val="00D1199B"/>
    <w:rsid w:val="00D11BD5"/>
    <w:rsid w:val="00D13DBC"/>
    <w:rsid w:val="00D15CAC"/>
    <w:rsid w:val="00D16485"/>
    <w:rsid w:val="00D205E7"/>
    <w:rsid w:val="00D21803"/>
    <w:rsid w:val="00D22A06"/>
    <w:rsid w:val="00D22BFE"/>
    <w:rsid w:val="00D24B72"/>
    <w:rsid w:val="00D313A8"/>
    <w:rsid w:val="00D32CAE"/>
    <w:rsid w:val="00D334C9"/>
    <w:rsid w:val="00D34D7D"/>
    <w:rsid w:val="00D361E3"/>
    <w:rsid w:val="00D36955"/>
    <w:rsid w:val="00D3796A"/>
    <w:rsid w:val="00D42181"/>
    <w:rsid w:val="00D4220B"/>
    <w:rsid w:val="00D46794"/>
    <w:rsid w:val="00D5047F"/>
    <w:rsid w:val="00D51E00"/>
    <w:rsid w:val="00D52B16"/>
    <w:rsid w:val="00D540C2"/>
    <w:rsid w:val="00D55FE3"/>
    <w:rsid w:val="00D5658E"/>
    <w:rsid w:val="00D6010D"/>
    <w:rsid w:val="00D61F64"/>
    <w:rsid w:val="00D62691"/>
    <w:rsid w:val="00D70204"/>
    <w:rsid w:val="00D72E74"/>
    <w:rsid w:val="00D7324F"/>
    <w:rsid w:val="00D7492A"/>
    <w:rsid w:val="00D74B6F"/>
    <w:rsid w:val="00D74EAD"/>
    <w:rsid w:val="00D75AB4"/>
    <w:rsid w:val="00D76A64"/>
    <w:rsid w:val="00D77B00"/>
    <w:rsid w:val="00D830A9"/>
    <w:rsid w:val="00D83F3C"/>
    <w:rsid w:val="00D85461"/>
    <w:rsid w:val="00D87027"/>
    <w:rsid w:val="00D91B03"/>
    <w:rsid w:val="00D91B86"/>
    <w:rsid w:val="00D91BDB"/>
    <w:rsid w:val="00D91E1D"/>
    <w:rsid w:val="00D92CFE"/>
    <w:rsid w:val="00D93783"/>
    <w:rsid w:val="00D967EC"/>
    <w:rsid w:val="00D97EBB"/>
    <w:rsid w:val="00DA363B"/>
    <w:rsid w:val="00DA41DF"/>
    <w:rsid w:val="00DA4518"/>
    <w:rsid w:val="00DA544C"/>
    <w:rsid w:val="00DA5E19"/>
    <w:rsid w:val="00DB2021"/>
    <w:rsid w:val="00DB2833"/>
    <w:rsid w:val="00DB2E80"/>
    <w:rsid w:val="00DB35E2"/>
    <w:rsid w:val="00DB4716"/>
    <w:rsid w:val="00DB5723"/>
    <w:rsid w:val="00DB5828"/>
    <w:rsid w:val="00DB5B86"/>
    <w:rsid w:val="00DC088C"/>
    <w:rsid w:val="00DC2B0C"/>
    <w:rsid w:val="00DC2E06"/>
    <w:rsid w:val="00DC676E"/>
    <w:rsid w:val="00DC791A"/>
    <w:rsid w:val="00DD6262"/>
    <w:rsid w:val="00DD7C69"/>
    <w:rsid w:val="00DE0FFB"/>
    <w:rsid w:val="00DE11B0"/>
    <w:rsid w:val="00DE23EF"/>
    <w:rsid w:val="00DE36F4"/>
    <w:rsid w:val="00DE396F"/>
    <w:rsid w:val="00DE57BF"/>
    <w:rsid w:val="00DE602B"/>
    <w:rsid w:val="00DE608C"/>
    <w:rsid w:val="00DE6EF8"/>
    <w:rsid w:val="00DF1A06"/>
    <w:rsid w:val="00DF47F1"/>
    <w:rsid w:val="00DF5055"/>
    <w:rsid w:val="00DF52F8"/>
    <w:rsid w:val="00DF5E76"/>
    <w:rsid w:val="00DF6F8A"/>
    <w:rsid w:val="00DF771E"/>
    <w:rsid w:val="00DF7977"/>
    <w:rsid w:val="00E002D8"/>
    <w:rsid w:val="00E00705"/>
    <w:rsid w:val="00E00C79"/>
    <w:rsid w:val="00E02E89"/>
    <w:rsid w:val="00E03C4B"/>
    <w:rsid w:val="00E062E9"/>
    <w:rsid w:val="00E11827"/>
    <w:rsid w:val="00E12EBE"/>
    <w:rsid w:val="00E134A1"/>
    <w:rsid w:val="00E137EF"/>
    <w:rsid w:val="00E13F93"/>
    <w:rsid w:val="00E13FA8"/>
    <w:rsid w:val="00E14FF1"/>
    <w:rsid w:val="00E1632B"/>
    <w:rsid w:val="00E17D0B"/>
    <w:rsid w:val="00E209E1"/>
    <w:rsid w:val="00E21F17"/>
    <w:rsid w:val="00E236E4"/>
    <w:rsid w:val="00E26FFC"/>
    <w:rsid w:val="00E31385"/>
    <w:rsid w:val="00E31CD4"/>
    <w:rsid w:val="00E33098"/>
    <w:rsid w:val="00E35C0D"/>
    <w:rsid w:val="00E36F15"/>
    <w:rsid w:val="00E400D4"/>
    <w:rsid w:val="00E40D98"/>
    <w:rsid w:val="00E42705"/>
    <w:rsid w:val="00E47A8A"/>
    <w:rsid w:val="00E52B29"/>
    <w:rsid w:val="00E53FAA"/>
    <w:rsid w:val="00E54D05"/>
    <w:rsid w:val="00E553BB"/>
    <w:rsid w:val="00E5740B"/>
    <w:rsid w:val="00E6285A"/>
    <w:rsid w:val="00E648AA"/>
    <w:rsid w:val="00E64AA1"/>
    <w:rsid w:val="00E66421"/>
    <w:rsid w:val="00E66430"/>
    <w:rsid w:val="00E67FFE"/>
    <w:rsid w:val="00E71405"/>
    <w:rsid w:val="00E71520"/>
    <w:rsid w:val="00E7168A"/>
    <w:rsid w:val="00E76AF9"/>
    <w:rsid w:val="00E7701D"/>
    <w:rsid w:val="00E77119"/>
    <w:rsid w:val="00E7718E"/>
    <w:rsid w:val="00E8270F"/>
    <w:rsid w:val="00E82ED1"/>
    <w:rsid w:val="00E82F93"/>
    <w:rsid w:val="00E83AC5"/>
    <w:rsid w:val="00E84955"/>
    <w:rsid w:val="00E8653E"/>
    <w:rsid w:val="00E865B1"/>
    <w:rsid w:val="00E86C25"/>
    <w:rsid w:val="00E91FC9"/>
    <w:rsid w:val="00E94755"/>
    <w:rsid w:val="00E957AC"/>
    <w:rsid w:val="00EA2913"/>
    <w:rsid w:val="00EA2DDB"/>
    <w:rsid w:val="00EA4189"/>
    <w:rsid w:val="00EA506D"/>
    <w:rsid w:val="00EA60E9"/>
    <w:rsid w:val="00EA768C"/>
    <w:rsid w:val="00EB069A"/>
    <w:rsid w:val="00EB1951"/>
    <w:rsid w:val="00EB2A38"/>
    <w:rsid w:val="00EB4621"/>
    <w:rsid w:val="00EB5AF8"/>
    <w:rsid w:val="00EB66A6"/>
    <w:rsid w:val="00EB7F0C"/>
    <w:rsid w:val="00EC0BF2"/>
    <w:rsid w:val="00EC4E15"/>
    <w:rsid w:val="00EC686C"/>
    <w:rsid w:val="00EC69F0"/>
    <w:rsid w:val="00ED0C20"/>
    <w:rsid w:val="00ED4BCB"/>
    <w:rsid w:val="00ED5186"/>
    <w:rsid w:val="00EE203A"/>
    <w:rsid w:val="00EE2796"/>
    <w:rsid w:val="00EE4F20"/>
    <w:rsid w:val="00EF009C"/>
    <w:rsid w:val="00EF1726"/>
    <w:rsid w:val="00EF670A"/>
    <w:rsid w:val="00F015F9"/>
    <w:rsid w:val="00F0464E"/>
    <w:rsid w:val="00F04FC6"/>
    <w:rsid w:val="00F06C10"/>
    <w:rsid w:val="00F070CA"/>
    <w:rsid w:val="00F1258C"/>
    <w:rsid w:val="00F1788D"/>
    <w:rsid w:val="00F178C5"/>
    <w:rsid w:val="00F202A2"/>
    <w:rsid w:val="00F20D6F"/>
    <w:rsid w:val="00F21824"/>
    <w:rsid w:val="00F25BEB"/>
    <w:rsid w:val="00F263FB"/>
    <w:rsid w:val="00F26B9E"/>
    <w:rsid w:val="00F32668"/>
    <w:rsid w:val="00F330DD"/>
    <w:rsid w:val="00F33911"/>
    <w:rsid w:val="00F35F7A"/>
    <w:rsid w:val="00F4370A"/>
    <w:rsid w:val="00F45488"/>
    <w:rsid w:val="00F45D00"/>
    <w:rsid w:val="00F47121"/>
    <w:rsid w:val="00F474A1"/>
    <w:rsid w:val="00F47E34"/>
    <w:rsid w:val="00F50BBB"/>
    <w:rsid w:val="00F5177D"/>
    <w:rsid w:val="00F527D6"/>
    <w:rsid w:val="00F52952"/>
    <w:rsid w:val="00F53C7C"/>
    <w:rsid w:val="00F5695B"/>
    <w:rsid w:val="00F60DD6"/>
    <w:rsid w:val="00F61CDF"/>
    <w:rsid w:val="00F62480"/>
    <w:rsid w:val="00F65117"/>
    <w:rsid w:val="00F65F91"/>
    <w:rsid w:val="00F74115"/>
    <w:rsid w:val="00F750B3"/>
    <w:rsid w:val="00F76D43"/>
    <w:rsid w:val="00F82106"/>
    <w:rsid w:val="00F848FF"/>
    <w:rsid w:val="00F84E85"/>
    <w:rsid w:val="00F87A91"/>
    <w:rsid w:val="00F87AEC"/>
    <w:rsid w:val="00F91280"/>
    <w:rsid w:val="00F96022"/>
    <w:rsid w:val="00FA2B3B"/>
    <w:rsid w:val="00FA2D7F"/>
    <w:rsid w:val="00FA4B95"/>
    <w:rsid w:val="00FB24DE"/>
    <w:rsid w:val="00FB4DD4"/>
    <w:rsid w:val="00FB609F"/>
    <w:rsid w:val="00FB7711"/>
    <w:rsid w:val="00FB7A5E"/>
    <w:rsid w:val="00FC3BF9"/>
    <w:rsid w:val="00FC42B9"/>
    <w:rsid w:val="00FC5B42"/>
    <w:rsid w:val="00FC702D"/>
    <w:rsid w:val="00FC7EFA"/>
    <w:rsid w:val="00FD55C9"/>
    <w:rsid w:val="00FD66D3"/>
    <w:rsid w:val="00FD6F70"/>
    <w:rsid w:val="00FD7DC5"/>
    <w:rsid w:val="00FE39F3"/>
    <w:rsid w:val="00FE550A"/>
    <w:rsid w:val="00FE634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F4B2"/>
  <w15:docId w15:val="{B167E2B1-8A1B-49D4-B783-FF29BC01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121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5E086D"/>
    <w:rPr>
      <w:rFonts w:ascii="Segoe UI" w:hAnsi="Segoe UI" w:cs="Segoe UI"/>
      <w:sz w:val="18"/>
      <w:szCs w:val="18"/>
    </w:rPr>
  </w:style>
  <w:style w:type="character" w:customStyle="1" w:styleId="a6">
    <w:name w:val="Текст выноски Знак"/>
    <w:basedOn w:val="a0"/>
    <w:link w:val="a5"/>
    <w:uiPriority w:val="99"/>
    <w:semiHidden/>
    <w:rsid w:val="005E086D"/>
    <w:rPr>
      <w:rFonts w:ascii="Segoe UI" w:hAnsi="Segoe UI" w:cs="Segoe UI"/>
      <w:sz w:val="18"/>
      <w:szCs w:val="18"/>
    </w:rPr>
  </w:style>
  <w:style w:type="paragraph" w:styleId="a7">
    <w:name w:val="List Paragraph"/>
    <w:basedOn w:val="a"/>
    <w:link w:val="a8"/>
    <w:uiPriority w:val="34"/>
    <w:qFormat/>
    <w:rsid w:val="007F1970"/>
    <w:pPr>
      <w:ind w:left="720"/>
      <w:contextualSpacing/>
    </w:pPr>
  </w:style>
  <w:style w:type="table" w:styleId="a9">
    <w:name w:val="Table Grid"/>
    <w:basedOn w:val="a1"/>
    <w:uiPriority w:val="59"/>
    <w:rsid w:val="005527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a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customStyle="1" w:styleId="a8">
    <w:name w:val="Абзац списка Знак"/>
    <w:link w:val="a7"/>
    <w:uiPriority w:val="34"/>
    <w:locked/>
    <w:rsid w:val="00B663CF"/>
  </w:style>
  <w:style w:type="paragraph" w:styleId="af0">
    <w:name w:val="footnote text"/>
    <w:basedOn w:val="a"/>
    <w:link w:val="af1"/>
    <w:uiPriority w:val="99"/>
    <w:unhideWhenUsed/>
    <w:rsid w:val="00E77119"/>
    <w:rPr>
      <w:sz w:val="20"/>
      <w:szCs w:val="20"/>
      <w:lang w:val="en-US" w:eastAsia="en-US"/>
    </w:rPr>
  </w:style>
  <w:style w:type="character" w:customStyle="1" w:styleId="FootnoteTextChar">
    <w:name w:val="Footnote Text Char"/>
    <w:basedOn w:val="a0"/>
    <w:uiPriority w:val="99"/>
    <w:semiHidden/>
    <w:rsid w:val="00E77119"/>
    <w:rPr>
      <w:sz w:val="20"/>
      <w:szCs w:val="20"/>
    </w:rPr>
  </w:style>
  <w:style w:type="character" w:customStyle="1" w:styleId="af1">
    <w:name w:val="Текст сноски Знак"/>
    <w:basedOn w:val="a0"/>
    <w:link w:val="af0"/>
    <w:uiPriority w:val="99"/>
    <w:rsid w:val="00E77119"/>
    <w:rPr>
      <w:sz w:val="20"/>
      <w:szCs w:val="20"/>
      <w:lang w:val="en-US" w:eastAsia="en-US"/>
    </w:rPr>
  </w:style>
  <w:style w:type="character" w:styleId="af2">
    <w:name w:val="footnote reference"/>
    <w:basedOn w:val="a0"/>
    <w:unhideWhenUsed/>
    <w:rsid w:val="00E77119"/>
    <w:rPr>
      <w:vertAlign w:val="superscript"/>
    </w:rPr>
  </w:style>
  <w:style w:type="paragraph" w:customStyle="1" w:styleId="Default">
    <w:name w:val="Default"/>
    <w:rsid w:val="00D42181"/>
    <w:pPr>
      <w:autoSpaceDE w:val="0"/>
      <w:autoSpaceDN w:val="0"/>
      <w:adjustRightInd w:val="0"/>
    </w:pPr>
    <w:rPr>
      <w:color w:val="000000"/>
      <w:lang w:val="ru-RU"/>
    </w:rPr>
  </w:style>
  <w:style w:type="paragraph" w:styleId="af3">
    <w:name w:val="annotation subject"/>
    <w:basedOn w:val="ad"/>
    <w:next w:val="ad"/>
    <w:link w:val="af4"/>
    <w:uiPriority w:val="99"/>
    <w:semiHidden/>
    <w:unhideWhenUsed/>
    <w:rsid w:val="006703A2"/>
    <w:rPr>
      <w:b/>
      <w:bCs/>
    </w:rPr>
  </w:style>
  <w:style w:type="character" w:customStyle="1" w:styleId="af4">
    <w:name w:val="Тема примечания Знак"/>
    <w:basedOn w:val="ae"/>
    <w:link w:val="af3"/>
    <w:uiPriority w:val="99"/>
    <w:semiHidden/>
    <w:rsid w:val="006703A2"/>
    <w:rPr>
      <w:b/>
      <w:bCs/>
      <w:sz w:val="20"/>
      <w:szCs w:val="20"/>
    </w:rPr>
  </w:style>
  <w:style w:type="character" w:styleId="af5">
    <w:name w:val="Hyperlink"/>
    <w:basedOn w:val="a0"/>
    <w:uiPriority w:val="99"/>
    <w:unhideWhenUsed/>
    <w:rsid w:val="00232956"/>
    <w:rPr>
      <w:color w:val="0000FF" w:themeColor="hyperlink"/>
      <w:u w:val="single"/>
    </w:rPr>
  </w:style>
  <w:style w:type="paragraph" w:styleId="af6">
    <w:name w:val="Normal (Web)"/>
    <w:basedOn w:val="a"/>
    <w:uiPriority w:val="99"/>
    <w:unhideWhenUsed/>
    <w:rsid w:val="00C242B9"/>
    <w:pPr>
      <w:ind w:firstLine="567"/>
      <w:jc w:val="both"/>
    </w:pPr>
    <w:rPr>
      <w:rFonts w:eastAsiaTheme="minorEastAsia"/>
      <w:lang w:eastAsia="ro-RO"/>
    </w:rPr>
  </w:style>
  <w:style w:type="paragraph" w:customStyle="1" w:styleId="tt">
    <w:name w:val="tt"/>
    <w:basedOn w:val="a"/>
    <w:rsid w:val="0086555E"/>
    <w:pPr>
      <w:jc w:val="center"/>
    </w:pPr>
    <w:rPr>
      <w:b/>
      <w:bCs/>
      <w:lang w:val="en-US" w:eastAsia="en-US"/>
    </w:rPr>
  </w:style>
  <w:style w:type="paragraph" w:styleId="af7">
    <w:name w:val="Revision"/>
    <w:hidden/>
    <w:uiPriority w:val="99"/>
    <w:semiHidden/>
    <w:rsid w:val="00726A5E"/>
  </w:style>
  <w:style w:type="paragraph" w:styleId="af8">
    <w:name w:val="header"/>
    <w:basedOn w:val="a"/>
    <w:link w:val="af9"/>
    <w:uiPriority w:val="99"/>
    <w:unhideWhenUsed/>
    <w:rsid w:val="00CE47FC"/>
    <w:pPr>
      <w:tabs>
        <w:tab w:val="center" w:pos="4844"/>
        <w:tab w:val="right" w:pos="9689"/>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0"/>
    <w:link w:val="af8"/>
    <w:uiPriority w:val="99"/>
    <w:rsid w:val="00CE47FC"/>
    <w:rPr>
      <w:rFonts w:asciiTheme="minorHAnsi" w:eastAsiaTheme="minorHAnsi" w:hAnsiTheme="minorHAnsi" w:cstheme="minorBidi"/>
      <w:sz w:val="22"/>
      <w:szCs w:val="22"/>
      <w:lang w:eastAsia="en-US"/>
    </w:rPr>
  </w:style>
  <w:style w:type="paragraph" w:styleId="afa">
    <w:name w:val="No Spacing"/>
    <w:uiPriority w:val="1"/>
    <w:qFormat/>
    <w:rsid w:val="00AA4F4E"/>
    <w:rPr>
      <w:rFonts w:ascii="Calibri" w:eastAsia="Calibri" w:hAnsi="Calibri"/>
      <w:sz w:val="22"/>
      <w:szCs w:val="22"/>
      <w:lang w:val="ru-RU" w:eastAsia="en-US"/>
    </w:rPr>
  </w:style>
  <w:style w:type="paragraph" w:customStyle="1" w:styleId="BodyText1">
    <w:name w:val="Body Text 1"/>
    <w:basedOn w:val="afb"/>
    <w:rsid w:val="00622164"/>
    <w:pPr>
      <w:tabs>
        <w:tab w:val="right" w:pos="-2127"/>
      </w:tabs>
      <w:suppressAutoHyphens/>
      <w:autoSpaceDE w:val="0"/>
      <w:jc w:val="both"/>
    </w:pPr>
    <w:rPr>
      <w:lang w:val="es-ES" w:eastAsia="ar-SA"/>
    </w:rPr>
  </w:style>
  <w:style w:type="paragraph" w:styleId="afb">
    <w:name w:val="Body Text"/>
    <w:basedOn w:val="a"/>
    <w:link w:val="afc"/>
    <w:uiPriority w:val="99"/>
    <w:semiHidden/>
    <w:unhideWhenUsed/>
    <w:rsid w:val="00622164"/>
    <w:pPr>
      <w:spacing w:after="120"/>
    </w:pPr>
  </w:style>
  <w:style w:type="character" w:customStyle="1" w:styleId="afc">
    <w:name w:val="Основной текст Знак"/>
    <w:basedOn w:val="a0"/>
    <w:link w:val="afb"/>
    <w:uiPriority w:val="99"/>
    <w:semiHidden/>
    <w:rsid w:val="00622164"/>
  </w:style>
  <w:style w:type="character" w:styleId="afd">
    <w:name w:val="Placeholder Text"/>
    <w:basedOn w:val="a0"/>
    <w:uiPriority w:val="99"/>
    <w:semiHidden/>
    <w:rsid w:val="00A33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183">
      <w:bodyDiv w:val="1"/>
      <w:marLeft w:val="0"/>
      <w:marRight w:val="0"/>
      <w:marTop w:val="0"/>
      <w:marBottom w:val="0"/>
      <w:divBdr>
        <w:top w:val="none" w:sz="0" w:space="0" w:color="auto"/>
        <w:left w:val="none" w:sz="0" w:space="0" w:color="auto"/>
        <w:bottom w:val="none" w:sz="0" w:space="0" w:color="auto"/>
        <w:right w:val="none" w:sz="0" w:space="0" w:color="auto"/>
      </w:divBdr>
    </w:div>
    <w:div w:id="330254430">
      <w:bodyDiv w:val="1"/>
      <w:marLeft w:val="0"/>
      <w:marRight w:val="0"/>
      <w:marTop w:val="0"/>
      <w:marBottom w:val="0"/>
      <w:divBdr>
        <w:top w:val="none" w:sz="0" w:space="0" w:color="auto"/>
        <w:left w:val="none" w:sz="0" w:space="0" w:color="auto"/>
        <w:bottom w:val="none" w:sz="0" w:space="0" w:color="auto"/>
        <w:right w:val="none" w:sz="0" w:space="0" w:color="auto"/>
      </w:divBdr>
    </w:div>
    <w:div w:id="337195440">
      <w:bodyDiv w:val="1"/>
      <w:marLeft w:val="0"/>
      <w:marRight w:val="0"/>
      <w:marTop w:val="0"/>
      <w:marBottom w:val="0"/>
      <w:divBdr>
        <w:top w:val="none" w:sz="0" w:space="0" w:color="auto"/>
        <w:left w:val="none" w:sz="0" w:space="0" w:color="auto"/>
        <w:bottom w:val="none" w:sz="0" w:space="0" w:color="auto"/>
        <w:right w:val="none" w:sz="0" w:space="0" w:color="auto"/>
      </w:divBdr>
    </w:div>
    <w:div w:id="423691655">
      <w:bodyDiv w:val="1"/>
      <w:marLeft w:val="0"/>
      <w:marRight w:val="0"/>
      <w:marTop w:val="0"/>
      <w:marBottom w:val="0"/>
      <w:divBdr>
        <w:top w:val="none" w:sz="0" w:space="0" w:color="auto"/>
        <w:left w:val="none" w:sz="0" w:space="0" w:color="auto"/>
        <w:bottom w:val="none" w:sz="0" w:space="0" w:color="auto"/>
        <w:right w:val="none" w:sz="0" w:space="0" w:color="auto"/>
      </w:divBdr>
    </w:div>
    <w:div w:id="460198729">
      <w:bodyDiv w:val="1"/>
      <w:marLeft w:val="0"/>
      <w:marRight w:val="0"/>
      <w:marTop w:val="0"/>
      <w:marBottom w:val="0"/>
      <w:divBdr>
        <w:top w:val="none" w:sz="0" w:space="0" w:color="auto"/>
        <w:left w:val="none" w:sz="0" w:space="0" w:color="auto"/>
        <w:bottom w:val="none" w:sz="0" w:space="0" w:color="auto"/>
        <w:right w:val="none" w:sz="0" w:space="0" w:color="auto"/>
      </w:divBdr>
    </w:div>
    <w:div w:id="516192511">
      <w:bodyDiv w:val="1"/>
      <w:marLeft w:val="0"/>
      <w:marRight w:val="0"/>
      <w:marTop w:val="0"/>
      <w:marBottom w:val="0"/>
      <w:divBdr>
        <w:top w:val="none" w:sz="0" w:space="0" w:color="auto"/>
        <w:left w:val="none" w:sz="0" w:space="0" w:color="auto"/>
        <w:bottom w:val="none" w:sz="0" w:space="0" w:color="auto"/>
        <w:right w:val="none" w:sz="0" w:space="0" w:color="auto"/>
      </w:divBdr>
    </w:div>
    <w:div w:id="619146417">
      <w:bodyDiv w:val="1"/>
      <w:marLeft w:val="0"/>
      <w:marRight w:val="0"/>
      <w:marTop w:val="0"/>
      <w:marBottom w:val="0"/>
      <w:divBdr>
        <w:top w:val="none" w:sz="0" w:space="0" w:color="auto"/>
        <w:left w:val="none" w:sz="0" w:space="0" w:color="auto"/>
        <w:bottom w:val="none" w:sz="0" w:space="0" w:color="auto"/>
        <w:right w:val="none" w:sz="0" w:space="0" w:color="auto"/>
      </w:divBdr>
    </w:div>
    <w:div w:id="644435307">
      <w:bodyDiv w:val="1"/>
      <w:marLeft w:val="0"/>
      <w:marRight w:val="0"/>
      <w:marTop w:val="0"/>
      <w:marBottom w:val="0"/>
      <w:divBdr>
        <w:top w:val="none" w:sz="0" w:space="0" w:color="auto"/>
        <w:left w:val="none" w:sz="0" w:space="0" w:color="auto"/>
        <w:bottom w:val="none" w:sz="0" w:space="0" w:color="auto"/>
        <w:right w:val="none" w:sz="0" w:space="0" w:color="auto"/>
      </w:divBdr>
    </w:div>
    <w:div w:id="714431563">
      <w:bodyDiv w:val="1"/>
      <w:marLeft w:val="0"/>
      <w:marRight w:val="0"/>
      <w:marTop w:val="0"/>
      <w:marBottom w:val="0"/>
      <w:divBdr>
        <w:top w:val="none" w:sz="0" w:space="0" w:color="auto"/>
        <w:left w:val="none" w:sz="0" w:space="0" w:color="auto"/>
        <w:bottom w:val="none" w:sz="0" w:space="0" w:color="auto"/>
        <w:right w:val="none" w:sz="0" w:space="0" w:color="auto"/>
      </w:divBdr>
    </w:div>
    <w:div w:id="784009026">
      <w:bodyDiv w:val="1"/>
      <w:marLeft w:val="0"/>
      <w:marRight w:val="0"/>
      <w:marTop w:val="0"/>
      <w:marBottom w:val="0"/>
      <w:divBdr>
        <w:top w:val="none" w:sz="0" w:space="0" w:color="auto"/>
        <w:left w:val="none" w:sz="0" w:space="0" w:color="auto"/>
        <w:bottom w:val="none" w:sz="0" w:space="0" w:color="auto"/>
        <w:right w:val="none" w:sz="0" w:space="0" w:color="auto"/>
      </w:divBdr>
    </w:div>
    <w:div w:id="824933791">
      <w:bodyDiv w:val="1"/>
      <w:marLeft w:val="0"/>
      <w:marRight w:val="0"/>
      <w:marTop w:val="0"/>
      <w:marBottom w:val="0"/>
      <w:divBdr>
        <w:top w:val="none" w:sz="0" w:space="0" w:color="auto"/>
        <w:left w:val="none" w:sz="0" w:space="0" w:color="auto"/>
        <w:bottom w:val="none" w:sz="0" w:space="0" w:color="auto"/>
        <w:right w:val="none" w:sz="0" w:space="0" w:color="auto"/>
      </w:divBdr>
    </w:div>
    <w:div w:id="1008405085">
      <w:bodyDiv w:val="1"/>
      <w:marLeft w:val="0"/>
      <w:marRight w:val="0"/>
      <w:marTop w:val="0"/>
      <w:marBottom w:val="0"/>
      <w:divBdr>
        <w:top w:val="none" w:sz="0" w:space="0" w:color="auto"/>
        <w:left w:val="none" w:sz="0" w:space="0" w:color="auto"/>
        <w:bottom w:val="none" w:sz="0" w:space="0" w:color="auto"/>
        <w:right w:val="none" w:sz="0" w:space="0" w:color="auto"/>
      </w:divBdr>
    </w:div>
    <w:div w:id="1123843889">
      <w:bodyDiv w:val="1"/>
      <w:marLeft w:val="0"/>
      <w:marRight w:val="0"/>
      <w:marTop w:val="0"/>
      <w:marBottom w:val="0"/>
      <w:divBdr>
        <w:top w:val="none" w:sz="0" w:space="0" w:color="auto"/>
        <w:left w:val="none" w:sz="0" w:space="0" w:color="auto"/>
        <w:bottom w:val="none" w:sz="0" w:space="0" w:color="auto"/>
        <w:right w:val="none" w:sz="0" w:space="0" w:color="auto"/>
      </w:divBdr>
    </w:div>
    <w:div w:id="1421833013">
      <w:bodyDiv w:val="1"/>
      <w:marLeft w:val="0"/>
      <w:marRight w:val="0"/>
      <w:marTop w:val="0"/>
      <w:marBottom w:val="0"/>
      <w:divBdr>
        <w:top w:val="none" w:sz="0" w:space="0" w:color="auto"/>
        <w:left w:val="none" w:sz="0" w:space="0" w:color="auto"/>
        <w:bottom w:val="none" w:sz="0" w:space="0" w:color="auto"/>
        <w:right w:val="none" w:sz="0" w:space="0" w:color="auto"/>
      </w:divBdr>
    </w:div>
    <w:div w:id="1459949745">
      <w:bodyDiv w:val="1"/>
      <w:marLeft w:val="0"/>
      <w:marRight w:val="0"/>
      <w:marTop w:val="0"/>
      <w:marBottom w:val="0"/>
      <w:divBdr>
        <w:top w:val="none" w:sz="0" w:space="0" w:color="auto"/>
        <w:left w:val="none" w:sz="0" w:space="0" w:color="auto"/>
        <w:bottom w:val="none" w:sz="0" w:space="0" w:color="auto"/>
        <w:right w:val="none" w:sz="0" w:space="0" w:color="auto"/>
      </w:divBdr>
    </w:div>
    <w:div w:id="1517384715">
      <w:bodyDiv w:val="1"/>
      <w:marLeft w:val="0"/>
      <w:marRight w:val="0"/>
      <w:marTop w:val="0"/>
      <w:marBottom w:val="0"/>
      <w:divBdr>
        <w:top w:val="none" w:sz="0" w:space="0" w:color="auto"/>
        <w:left w:val="none" w:sz="0" w:space="0" w:color="auto"/>
        <w:bottom w:val="none" w:sz="0" w:space="0" w:color="auto"/>
        <w:right w:val="none" w:sz="0" w:space="0" w:color="auto"/>
      </w:divBdr>
    </w:div>
    <w:div w:id="1844322208">
      <w:bodyDiv w:val="1"/>
      <w:marLeft w:val="0"/>
      <w:marRight w:val="0"/>
      <w:marTop w:val="0"/>
      <w:marBottom w:val="0"/>
      <w:divBdr>
        <w:top w:val="none" w:sz="0" w:space="0" w:color="auto"/>
        <w:left w:val="none" w:sz="0" w:space="0" w:color="auto"/>
        <w:bottom w:val="none" w:sz="0" w:space="0" w:color="auto"/>
        <w:right w:val="none" w:sz="0" w:space="0" w:color="auto"/>
      </w:divBdr>
    </w:div>
    <w:div w:id="1848399283">
      <w:bodyDiv w:val="1"/>
      <w:marLeft w:val="0"/>
      <w:marRight w:val="0"/>
      <w:marTop w:val="0"/>
      <w:marBottom w:val="0"/>
      <w:divBdr>
        <w:top w:val="none" w:sz="0" w:space="0" w:color="auto"/>
        <w:left w:val="none" w:sz="0" w:space="0" w:color="auto"/>
        <w:bottom w:val="none" w:sz="0" w:space="0" w:color="auto"/>
        <w:right w:val="none" w:sz="0" w:space="0" w:color="auto"/>
      </w:divBdr>
    </w:div>
    <w:div w:id="1950579405">
      <w:bodyDiv w:val="1"/>
      <w:marLeft w:val="0"/>
      <w:marRight w:val="0"/>
      <w:marTop w:val="0"/>
      <w:marBottom w:val="0"/>
      <w:divBdr>
        <w:top w:val="none" w:sz="0" w:space="0" w:color="auto"/>
        <w:left w:val="none" w:sz="0" w:space="0" w:color="auto"/>
        <w:bottom w:val="none" w:sz="0" w:space="0" w:color="auto"/>
        <w:right w:val="none" w:sz="0" w:space="0" w:color="auto"/>
      </w:divBdr>
    </w:div>
    <w:div w:id="1973821773">
      <w:bodyDiv w:val="1"/>
      <w:marLeft w:val="0"/>
      <w:marRight w:val="0"/>
      <w:marTop w:val="0"/>
      <w:marBottom w:val="0"/>
      <w:divBdr>
        <w:top w:val="none" w:sz="0" w:space="0" w:color="auto"/>
        <w:left w:val="none" w:sz="0" w:space="0" w:color="auto"/>
        <w:bottom w:val="none" w:sz="0" w:space="0" w:color="auto"/>
        <w:right w:val="none" w:sz="0" w:space="0" w:color="auto"/>
      </w:divBdr>
    </w:div>
    <w:div w:id="2019035991">
      <w:bodyDiv w:val="1"/>
      <w:marLeft w:val="0"/>
      <w:marRight w:val="0"/>
      <w:marTop w:val="0"/>
      <w:marBottom w:val="0"/>
      <w:divBdr>
        <w:top w:val="none" w:sz="0" w:space="0" w:color="auto"/>
        <w:left w:val="none" w:sz="0" w:space="0" w:color="auto"/>
        <w:bottom w:val="none" w:sz="0" w:space="0" w:color="auto"/>
        <w:right w:val="none" w:sz="0" w:space="0" w:color="auto"/>
      </w:divBdr>
    </w:div>
    <w:div w:id="202624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turcanu@anre.md" TargetMode="External"/><Relationship Id="rId4" Type="http://schemas.openxmlformats.org/officeDocument/2006/relationships/styles" Target="styles.xml"/><Relationship Id="rId9" Type="http://schemas.openxmlformats.org/officeDocument/2006/relationships/hyperlink" Target="mailto:sseracuta@anre.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xvgJyzo9HxU8+qb/akKRJ90kA==">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6D1424-36CD-4005-9055-F4C2BAA1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20</Pages>
  <Words>9308</Words>
  <Characters>53060</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dc:creator>
  <cp:lastModifiedBy>Veaceslav Turcanu</cp:lastModifiedBy>
  <cp:revision>104</cp:revision>
  <cp:lastPrinted>2022-11-04T12:17:00Z</cp:lastPrinted>
  <dcterms:created xsi:type="dcterms:W3CDTF">2023-10-26T08:29:00Z</dcterms:created>
  <dcterms:modified xsi:type="dcterms:W3CDTF">2024-05-22T05:45:00Z</dcterms:modified>
</cp:coreProperties>
</file>